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and Gender Diversity Panel</w:t>
      </w:r>
    </w:p>
    <w:p w14:paraId="667F9663" w14:textId="2DBFF044" w:rsidR="006B5482" w:rsidRPr="004F0829" w:rsidRDefault="003427FE" w:rsidP="006B5482">
      <w:pPr>
        <w:pStyle w:val="NoSpacing"/>
        <w:jc w:val="center"/>
        <w:rPr>
          <w:rFonts w:asciiTheme="majorHAnsi" w:hAnsiTheme="majorHAnsi" w:cstheme="majorHAnsi"/>
        </w:rPr>
      </w:pPr>
      <w:r>
        <w:rPr>
          <w:rFonts w:asciiTheme="majorHAnsi" w:hAnsiTheme="majorHAnsi" w:cstheme="majorHAnsi"/>
        </w:rPr>
        <w:t>A</w:t>
      </w:r>
      <w:r w:rsidR="00B2158A">
        <w:rPr>
          <w:rFonts w:asciiTheme="majorHAnsi" w:hAnsiTheme="majorHAnsi" w:cstheme="majorHAnsi"/>
        </w:rPr>
        <w:t>pproved</w:t>
      </w:r>
      <w:r w:rsidR="00262B51">
        <w:rPr>
          <w:rFonts w:asciiTheme="majorHAnsi" w:hAnsiTheme="majorHAnsi" w:cstheme="majorHAnsi"/>
        </w:rPr>
        <w:t xml:space="preserve"> Minutes</w:t>
      </w:r>
    </w:p>
    <w:p w14:paraId="47B94794" w14:textId="4B61744A" w:rsidR="006B5482" w:rsidRPr="004F0829" w:rsidRDefault="001F7FC2" w:rsidP="006B5482">
      <w:pPr>
        <w:pStyle w:val="NoSpacing"/>
        <w:rPr>
          <w:rFonts w:asciiTheme="majorHAnsi" w:hAnsiTheme="majorHAnsi" w:cstheme="majorHAnsi"/>
        </w:rPr>
      </w:pPr>
      <w:r w:rsidRPr="004F0829">
        <w:rPr>
          <w:rFonts w:asciiTheme="majorHAnsi" w:hAnsiTheme="majorHAnsi" w:cstheme="majorHAnsi"/>
        </w:rPr>
        <w:t xml:space="preserve">Monday, </w:t>
      </w:r>
      <w:r w:rsidR="00C6184D">
        <w:rPr>
          <w:rFonts w:asciiTheme="majorHAnsi" w:hAnsiTheme="majorHAnsi" w:cstheme="majorHAnsi"/>
        </w:rPr>
        <w:t>February 6</w:t>
      </w:r>
      <w:r w:rsidR="00C6184D" w:rsidRPr="00C6184D">
        <w:rPr>
          <w:rFonts w:asciiTheme="majorHAnsi" w:hAnsiTheme="majorHAnsi" w:cstheme="majorHAnsi"/>
          <w:vertAlign w:val="superscript"/>
        </w:rPr>
        <w:t>th</w:t>
      </w:r>
      <w:r w:rsidR="006B5482" w:rsidRPr="004F0829">
        <w:rPr>
          <w:rFonts w:asciiTheme="majorHAnsi" w:hAnsiTheme="majorHAnsi" w:cstheme="majorHAnsi"/>
        </w:rPr>
        <w:t xml:space="preserve">, </w:t>
      </w:r>
      <w:proofErr w:type="gramStart"/>
      <w:r w:rsidR="006B5482" w:rsidRPr="004F0829">
        <w:rPr>
          <w:rFonts w:asciiTheme="majorHAnsi" w:hAnsiTheme="majorHAnsi" w:cstheme="majorHAnsi"/>
        </w:rPr>
        <w:t>202</w:t>
      </w:r>
      <w:r w:rsidR="00A92CB1">
        <w:rPr>
          <w:rFonts w:asciiTheme="majorHAnsi" w:hAnsiTheme="majorHAnsi" w:cstheme="majorHAnsi"/>
        </w:rPr>
        <w:t>3</w:t>
      </w:r>
      <w:proofErr w:type="gramEnd"/>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453E2" w:rsidRPr="004F0829">
        <w:rPr>
          <w:rFonts w:asciiTheme="majorHAnsi" w:hAnsiTheme="majorHAnsi" w:cstheme="majorHAnsi"/>
        </w:rPr>
        <w:t>1</w:t>
      </w:r>
      <w:r w:rsidR="00A92CB1">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3</w:t>
      </w:r>
      <w:r w:rsidR="006B5482" w:rsidRPr="004F0829">
        <w:rPr>
          <w:rFonts w:asciiTheme="majorHAnsi" w:hAnsiTheme="majorHAnsi" w:cstheme="majorHAnsi"/>
        </w:rPr>
        <w:t>0</w:t>
      </w:r>
      <w:r w:rsidR="009453E2" w:rsidRPr="004F0829">
        <w:rPr>
          <w:rFonts w:asciiTheme="majorHAnsi" w:hAnsiTheme="majorHAnsi" w:cstheme="majorHAnsi"/>
        </w:rPr>
        <w:t xml:space="preserve"> </w:t>
      </w:r>
      <w:r w:rsidR="000D160D" w:rsidRPr="004F0829">
        <w:rPr>
          <w:rFonts w:asciiTheme="majorHAnsi" w:hAnsiTheme="majorHAnsi" w:cstheme="majorHAnsi"/>
        </w:rPr>
        <w:t>P</w:t>
      </w:r>
      <w:r w:rsidR="009453E2" w:rsidRPr="004F0829">
        <w:rPr>
          <w:rFonts w:asciiTheme="majorHAnsi" w:hAnsiTheme="majorHAnsi" w:cstheme="majorHAnsi"/>
        </w:rPr>
        <w:t>M</w:t>
      </w:r>
      <w:r w:rsidR="006B5482" w:rsidRPr="004F0829">
        <w:rPr>
          <w:rFonts w:asciiTheme="majorHAnsi" w:hAnsiTheme="majorHAnsi" w:cstheme="majorHAnsi"/>
        </w:rPr>
        <w:t>-</w:t>
      </w:r>
      <w:r w:rsidR="009453E2" w:rsidRPr="004F0829">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0</w:t>
      </w:r>
      <w:r w:rsidR="006B5482" w:rsidRPr="004F0829">
        <w:rPr>
          <w:rFonts w:asciiTheme="majorHAnsi" w:hAnsiTheme="majorHAnsi" w:cstheme="majorHAnsi"/>
        </w:rPr>
        <w:t xml:space="preserve">0 </w:t>
      </w:r>
      <w:r w:rsidR="009453E2" w:rsidRPr="004F0829">
        <w:rPr>
          <w:rFonts w:asciiTheme="majorHAnsi" w:hAnsiTheme="majorHAnsi" w:cstheme="majorHAnsi"/>
        </w:rPr>
        <w:t>P</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13B17B8E"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w:t>
      </w:r>
      <w:r w:rsidR="00A55AB2">
        <w:rPr>
          <w:rFonts w:asciiTheme="majorHAnsi" w:hAnsiTheme="majorHAnsi" w:cstheme="majorHAnsi"/>
        </w:rPr>
        <w:t>Abrams, Fletcher, Ponce, Pradhan, Price-</w:t>
      </w:r>
      <w:r w:rsidR="00262B51">
        <w:rPr>
          <w:rFonts w:asciiTheme="majorHAnsi" w:hAnsiTheme="majorHAnsi" w:cstheme="majorHAnsi"/>
        </w:rPr>
        <w:t>Spratlen</w:t>
      </w:r>
      <w:r w:rsidR="00A55AB2">
        <w:rPr>
          <w:rFonts w:asciiTheme="majorHAnsi" w:hAnsiTheme="majorHAnsi" w:cstheme="majorHAnsi"/>
        </w:rPr>
        <w:t xml:space="preserve">, Richard, </w:t>
      </w:r>
      <w:r w:rsidR="00A92CB1">
        <w:rPr>
          <w:rFonts w:asciiTheme="majorHAnsi" w:hAnsiTheme="majorHAnsi" w:cstheme="majorHAnsi"/>
        </w:rPr>
        <w:t>Steele, Vankeerbergen</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77CF47FD" w:rsidR="006B5482" w:rsidRPr="004F0829"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3F1E1C0A" w14:textId="7311D3D8" w:rsidR="00DD254F" w:rsidRDefault="00DD254F" w:rsidP="00DD254F">
      <w:pPr>
        <w:numPr>
          <w:ilvl w:val="0"/>
          <w:numId w:val="39"/>
        </w:numPr>
        <w:spacing w:line="240" w:lineRule="auto"/>
        <w:rPr>
          <w:rFonts w:asciiTheme="majorHAnsi" w:eastAsia="Times New Roman" w:hAnsiTheme="majorHAnsi" w:cstheme="majorHAnsi"/>
          <w:lang w:val="en-US"/>
        </w:rPr>
      </w:pPr>
      <w:r w:rsidRPr="00DD254F">
        <w:rPr>
          <w:rFonts w:asciiTheme="majorHAnsi" w:eastAsia="Times New Roman" w:hAnsiTheme="majorHAnsi" w:cstheme="majorHAnsi"/>
          <w:lang w:val="en-US"/>
        </w:rPr>
        <w:t>Approval of 1/23/23 minutes</w:t>
      </w:r>
    </w:p>
    <w:p w14:paraId="0DF8FD35" w14:textId="77777777" w:rsidR="004B0AC8" w:rsidRDefault="004B0AC8" w:rsidP="004B0AC8">
      <w:pPr>
        <w:spacing w:line="240" w:lineRule="auto"/>
        <w:ind w:left="360"/>
        <w:rPr>
          <w:rFonts w:asciiTheme="majorHAnsi" w:eastAsia="Times New Roman" w:hAnsiTheme="majorHAnsi" w:cstheme="majorHAnsi"/>
          <w:lang w:val="en-US"/>
        </w:rPr>
      </w:pPr>
    </w:p>
    <w:p w14:paraId="7F5EC187" w14:textId="241697EC" w:rsidR="00A55AB2" w:rsidRDefault="009C456F" w:rsidP="00A55AB2">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Ponce, Abrams; approved with one abstention</w:t>
      </w:r>
    </w:p>
    <w:p w14:paraId="11CEFF05" w14:textId="77777777" w:rsidR="004B0AC8" w:rsidRPr="00DD254F" w:rsidRDefault="004B0AC8" w:rsidP="004B0AC8">
      <w:pPr>
        <w:spacing w:line="240" w:lineRule="auto"/>
        <w:rPr>
          <w:rFonts w:asciiTheme="majorHAnsi" w:eastAsia="Times New Roman" w:hAnsiTheme="majorHAnsi" w:cstheme="majorHAnsi"/>
          <w:lang w:val="en-US"/>
        </w:rPr>
      </w:pPr>
    </w:p>
    <w:p w14:paraId="0126845A" w14:textId="4D1A24D4" w:rsidR="00DD254F" w:rsidRDefault="00DD254F" w:rsidP="00DD254F">
      <w:pPr>
        <w:numPr>
          <w:ilvl w:val="0"/>
          <w:numId w:val="39"/>
        </w:numPr>
        <w:spacing w:line="240" w:lineRule="auto"/>
        <w:rPr>
          <w:rFonts w:asciiTheme="majorHAnsi" w:eastAsia="Times New Roman" w:hAnsiTheme="majorHAnsi" w:cstheme="majorHAnsi"/>
          <w:lang w:val="en-US"/>
        </w:rPr>
      </w:pPr>
      <w:r w:rsidRPr="00DD254F">
        <w:rPr>
          <w:rFonts w:asciiTheme="majorHAnsi" w:eastAsia="Times New Roman" w:hAnsiTheme="majorHAnsi" w:cstheme="majorHAnsi"/>
          <w:lang w:val="en-US"/>
        </w:rPr>
        <w:t>Anthropology and NELC 2241 (existing course with GEL Cultures and Ideas, GEL Diversity-Global Studies, and GEN Foundation: Historical and Cultural Studies; requesting GEN Foundation REGD)</w:t>
      </w:r>
    </w:p>
    <w:p w14:paraId="7F03B3D3" w14:textId="77777777" w:rsidR="004B0AC8" w:rsidRDefault="004B0AC8" w:rsidP="004B0AC8">
      <w:pPr>
        <w:spacing w:line="240" w:lineRule="auto"/>
        <w:ind w:left="360"/>
        <w:rPr>
          <w:rFonts w:asciiTheme="majorHAnsi" w:eastAsia="Times New Roman" w:hAnsiTheme="majorHAnsi" w:cstheme="majorHAnsi"/>
          <w:lang w:val="en-US"/>
        </w:rPr>
      </w:pPr>
    </w:p>
    <w:p w14:paraId="6F464F50" w14:textId="52F7D877" w:rsidR="00CC0824" w:rsidRPr="00262B51" w:rsidRDefault="00CC0824" w:rsidP="00262B51">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The Panel asks that the department</w:t>
      </w:r>
      <w:r w:rsidR="00262B51">
        <w:rPr>
          <w:rFonts w:asciiTheme="majorHAnsi" w:eastAsia="Times New Roman" w:hAnsiTheme="majorHAnsi" w:cstheme="majorHAnsi"/>
          <w:lang w:val="en-US"/>
        </w:rPr>
        <w:t>s</w:t>
      </w:r>
      <w:r>
        <w:rPr>
          <w:rFonts w:asciiTheme="majorHAnsi" w:eastAsia="Times New Roman" w:hAnsiTheme="majorHAnsi" w:cstheme="majorHAnsi"/>
          <w:lang w:val="en-US"/>
        </w:rPr>
        <w:t xml:space="preserve"> include in the syllabus the goals and ELOs (as well as an explanatory statement about how this course will meet those goals and ELOs) for the GEL Diversity: Global Studies and GEN Foundation: Historical and Cultural Studies </w:t>
      </w:r>
      <w:r w:rsidR="00A97C42">
        <w:rPr>
          <w:rFonts w:asciiTheme="majorHAnsi" w:eastAsia="Times New Roman" w:hAnsiTheme="majorHAnsi" w:cstheme="majorHAnsi"/>
          <w:lang w:val="en-US"/>
        </w:rPr>
        <w:t xml:space="preserve">categories. These should be </w:t>
      </w:r>
      <w:r>
        <w:rPr>
          <w:rFonts w:asciiTheme="majorHAnsi" w:eastAsia="Times New Roman" w:hAnsiTheme="majorHAnsi" w:cstheme="majorHAnsi"/>
          <w:lang w:val="en-US"/>
        </w:rPr>
        <w:t xml:space="preserve">in addition to the goals and ELOs for the </w:t>
      </w:r>
      <w:r w:rsidR="00A97C42">
        <w:rPr>
          <w:rFonts w:asciiTheme="majorHAnsi" w:eastAsia="Times New Roman" w:hAnsiTheme="majorHAnsi" w:cstheme="majorHAnsi"/>
          <w:lang w:val="en-US"/>
        </w:rPr>
        <w:t xml:space="preserve">GEL Cultures and Ideas and </w:t>
      </w:r>
      <w:r>
        <w:rPr>
          <w:rFonts w:asciiTheme="majorHAnsi" w:eastAsia="Times New Roman" w:hAnsiTheme="majorHAnsi" w:cstheme="majorHAnsi"/>
          <w:lang w:val="en-US"/>
        </w:rPr>
        <w:t>GEN Foundation: REGD categor</w:t>
      </w:r>
      <w:r w:rsidR="00A97C42">
        <w:rPr>
          <w:rFonts w:asciiTheme="majorHAnsi" w:eastAsia="Times New Roman" w:hAnsiTheme="majorHAnsi" w:cstheme="majorHAnsi"/>
          <w:lang w:val="en-US"/>
        </w:rPr>
        <w:t xml:space="preserve">ies found </w:t>
      </w:r>
      <w:r>
        <w:rPr>
          <w:rFonts w:asciiTheme="majorHAnsi" w:eastAsia="Times New Roman" w:hAnsiTheme="majorHAnsi" w:cstheme="majorHAnsi"/>
          <w:lang w:val="en-US"/>
        </w:rPr>
        <w:t>on pg. 2</w:t>
      </w:r>
      <w:r w:rsidR="00A97C42">
        <w:rPr>
          <w:rFonts w:asciiTheme="majorHAnsi" w:eastAsia="Times New Roman" w:hAnsiTheme="majorHAnsi" w:cstheme="majorHAnsi"/>
          <w:lang w:val="en-US"/>
        </w:rPr>
        <w:t xml:space="preserve">-3 </w:t>
      </w:r>
      <w:r>
        <w:rPr>
          <w:rFonts w:asciiTheme="majorHAnsi" w:eastAsia="Times New Roman" w:hAnsiTheme="majorHAnsi" w:cstheme="majorHAnsi"/>
          <w:lang w:val="en-US"/>
        </w:rPr>
        <w:t xml:space="preserve">of the syllabus.  </w:t>
      </w:r>
      <w:r w:rsidR="00262B51">
        <w:rPr>
          <w:rFonts w:asciiTheme="majorHAnsi" w:eastAsia="Times New Roman" w:hAnsiTheme="majorHAnsi" w:cstheme="majorHAnsi"/>
          <w:lang w:val="en-US"/>
        </w:rPr>
        <w:t xml:space="preserve">Goals and ELOs for the GEN Foundations categories can be found here: </w:t>
      </w:r>
      <w:hyperlink r:id="rId5" w:history="1">
        <w:r w:rsidR="00262B51" w:rsidRPr="005012FE">
          <w:rPr>
            <w:rStyle w:val="Hyperlink"/>
            <w:rFonts w:asciiTheme="majorHAnsi" w:eastAsia="Times New Roman" w:hAnsiTheme="majorHAnsi" w:cstheme="majorHAnsi"/>
            <w:lang w:val="en-US"/>
          </w:rPr>
          <w:t>https://asccas.osu.edu/new-general-education-gen-goals-and-elos</w:t>
        </w:r>
      </w:hyperlink>
      <w:r w:rsidR="00262B51">
        <w:rPr>
          <w:rFonts w:asciiTheme="majorHAnsi" w:eastAsia="Times New Roman" w:hAnsiTheme="majorHAnsi" w:cstheme="majorHAnsi"/>
          <w:lang w:val="en-US"/>
        </w:rPr>
        <w:t xml:space="preserve">, and goals and ELOs for the GEL categories can be found here: </w:t>
      </w:r>
      <w:hyperlink r:id="rId6" w:history="1">
        <w:r w:rsidR="00262B51" w:rsidRPr="005012FE">
          <w:rPr>
            <w:rStyle w:val="Hyperlink"/>
            <w:rFonts w:asciiTheme="majorHAnsi" w:eastAsia="Times New Roman" w:hAnsiTheme="majorHAnsi" w:cstheme="majorHAnsi"/>
            <w:lang w:val="en-US"/>
          </w:rPr>
          <w:t>https://asccas.osu.edu/legacy-general-education-gel-goals-and-elos</w:t>
        </w:r>
      </w:hyperlink>
      <w:r w:rsidR="00262B51">
        <w:rPr>
          <w:rFonts w:asciiTheme="majorHAnsi" w:eastAsia="Times New Roman" w:hAnsiTheme="majorHAnsi" w:cstheme="majorHAnsi"/>
          <w:lang w:val="en-US"/>
        </w:rPr>
        <w:t xml:space="preserve">. </w:t>
      </w:r>
    </w:p>
    <w:p w14:paraId="08FEC0FF" w14:textId="77777777" w:rsidR="004B0AC8" w:rsidRDefault="004B0AC8" w:rsidP="004B0AC8">
      <w:pPr>
        <w:spacing w:line="240" w:lineRule="auto"/>
        <w:ind w:left="1440"/>
        <w:rPr>
          <w:rFonts w:asciiTheme="majorHAnsi" w:eastAsia="Times New Roman" w:hAnsiTheme="majorHAnsi" w:cstheme="majorHAnsi"/>
          <w:lang w:val="en-US"/>
        </w:rPr>
      </w:pPr>
    </w:p>
    <w:p w14:paraId="60AD3286" w14:textId="48DFAACC" w:rsidR="00A97C42" w:rsidRDefault="00A97C42" w:rsidP="00A55AB2">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Panel recommends that</w:t>
      </w:r>
      <w:r w:rsidR="00E556A3">
        <w:rPr>
          <w:rFonts w:asciiTheme="majorHAnsi" w:eastAsia="Times New Roman" w:hAnsiTheme="majorHAnsi" w:cstheme="majorHAnsi"/>
          <w:lang w:val="en-US"/>
        </w:rPr>
        <w:t>,</w:t>
      </w:r>
      <w:r>
        <w:rPr>
          <w:rFonts w:asciiTheme="majorHAnsi" w:eastAsia="Times New Roman" w:hAnsiTheme="majorHAnsi" w:cstheme="majorHAnsi"/>
          <w:lang w:val="en-US"/>
        </w:rPr>
        <w:t xml:space="preserve"> </w:t>
      </w:r>
      <w:r w:rsidR="00E556A3">
        <w:rPr>
          <w:rFonts w:asciiTheme="majorHAnsi" w:eastAsia="Times New Roman" w:hAnsiTheme="majorHAnsi" w:cstheme="majorHAnsi"/>
          <w:lang w:val="en-US"/>
        </w:rPr>
        <w:t xml:space="preserve">in addition to the discussion of racial portrayals of Middle Easterners in the U.S. in Module 2, </w:t>
      </w:r>
      <w:r>
        <w:rPr>
          <w:rFonts w:asciiTheme="majorHAnsi" w:eastAsia="Times New Roman" w:hAnsiTheme="majorHAnsi" w:cstheme="majorHAnsi"/>
          <w:lang w:val="en-US"/>
        </w:rPr>
        <w:t>the department</w:t>
      </w:r>
      <w:r w:rsidR="00262B51">
        <w:rPr>
          <w:rFonts w:asciiTheme="majorHAnsi" w:eastAsia="Times New Roman" w:hAnsiTheme="majorHAnsi" w:cstheme="majorHAnsi"/>
          <w:lang w:val="en-US"/>
        </w:rPr>
        <w:t>s</w:t>
      </w:r>
      <w:r>
        <w:rPr>
          <w:rFonts w:asciiTheme="majorHAnsi" w:eastAsia="Times New Roman" w:hAnsiTheme="majorHAnsi" w:cstheme="majorHAnsi"/>
          <w:lang w:val="en-US"/>
        </w:rPr>
        <w:t xml:space="preserve"> </w:t>
      </w:r>
      <w:r w:rsidR="00B011B3">
        <w:rPr>
          <w:rFonts w:asciiTheme="majorHAnsi" w:eastAsia="Times New Roman" w:hAnsiTheme="majorHAnsi" w:cstheme="majorHAnsi"/>
          <w:lang w:val="en-US"/>
        </w:rPr>
        <w:t>include</w:t>
      </w:r>
      <w:r>
        <w:rPr>
          <w:rFonts w:asciiTheme="majorHAnsi" w:eastAsia="Times New Roman" w:hAnsiTheme="majorHAnsi" w:cstheme="majorHAnsi"/>
          <w:lang w:val="en-US"/>
        </w:rPr>
        <w:t xml:space="preserve"> more material </w:t>
      </w:r>
      <w:r w:rsidR="00B011B3">
        <w:rPr>
          <w:rFonts w:asciiTheme="majorHAnsi" w:eastAsia="Times New Roman" w:hAnsiTheme="majorHAnsi" w:cstheme="majorHAnsi"/>
          <w:lang w:val="en-US"/>
        </w:rPr>
        <w:t>regarding</w:t>
      </w:r>
      <w:r>
        <w:rPr>
          <w:rFonts w:asciiTheme="majorHAnsi" w:eastAsia="Times New Roman" w:hAnsiTheme="majorHAnsi" w:cstheme="majorHAnsi"/>
          <w:lang w:val="en-US"/>
        </w:rPr>
        <w:t xml:space="preserve"> how </w:t>
      </w:r>
      <w:r w:rsidR="00B011B3">
        <w:rPr>
          <w:rFonts w:asciiTheme="majorHAnsi" w:eastAsia="Times New Roman" w:hAnsiTheme="majorHAnsi" w:cstheme="majorHAnsi"/>
          <w:lang w:val="en-US"/>
        </w:rPr>
        <w:t>concepts of race operate within the region</w:t>
      </w:r>
      <w:r w:rsidR="00E556A3">
        <w:rPr>
          <w:rFonts w:asciiTheme="majorHAnsi" w:eastAsia="Times New Roman" w:hAnsiTheme="majorHAnsi" w:cstheme="majorHAnsi"/>
          <w:lang w:val="en-US"/>
        </w:rPr>
        <w:t xml:space="preserve"> (syllabus pg. 13).</w:t>
      </w:r>
    </w:p>
    <w:p w14:paraId="6DEBB965" w14:textId="77777777" w:rsidR="004B0AC8" w:rsidRDefault="004B0AC8" w:rsidP="004B0AC8">
      <w:pPr>
        <w:spacing w:line="240" w:lineRule="auto"/>
        <w:rPr>
          <w:rFonts w:asciiTheme="majorHAnsi" w:eastAsia="Times New Roman" w:hAnsiTheme="majorHAnsi" w:cstheme="majorHAnsi"/>
          <w:lang w:val="en-US"/>
        </w:rPr>
      </w:pPr>
    </w:p>
    <w:p w14:paraId="46B326BC" w14:textId="4ACD9FE3" w:rsidR="009500D7" w:rsidRDefault="009500D7" w:rsidP="00A55AB2">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that the department</w:t>
      </w:r>
      <w:r w:rsidR="00262B51">
        <w:rPr>
          <w:rFonts w:asciiTheme="majorHAnsi" w:eastAsia="Times New Roman" w:hAnsiTheme="majorHAnsi" w:cstheme="majorHAnsi"/>
          <w:lang w:val="en-US"/>
        </w:rPr>
        <w:t>s</w:t>
      </w:r>
      <w:r>
        <w:rPr>
          <w:rFonts w:asciiTheme="majorHAnsi" w:eastAsia="Times New Roman" w:hAnsiTheme="majorHAnsi" w:cstheme="majorHAnsi"/>
          <w:lang w:val="en-US"/>
        </w:rPr>
        <w:t xml:space="preserve"> replace “NESA” with “NELC” in the syllabus when referring to the </w:t>
      </w:r>
      <w:r w:rsidR="007D60DB">
        <w:rPr>
          <w:rFonts w:asciiTheme="majorHAnsi" w:eastAsia="Times New Roman" w:hAnsiTheme="majorHAnsi" w:cstheme="majorHAnsi"/>
          <w:lang w:val="en-US"/>
        </w:rPr>
        <w:t xml:space="preserve">subject area and </w:t>
      </w:r>
      <w:r>
        <w:rPr>
          <w:rFonts w:asciiTheme="majorHAnsi" w:eastAsia="Times New Roman" w:hAnsiTheme="majorHAnsi" w:cstheme="majorHAnsi"/>
          <w:lang w:val="en-US"/>
        </w:rPr>
        <w:t>course number.  While the Panel is aware of the recent change to the name of the department, the Course Bulletin Listing/Subject Area is still “NELC”</w:t>
      </w:r>
      <w:r w:rsidR="007D60DB">
        <w:rPr>
          <w:rFonts w:asciiTheme="majorHAnsi" w:eastAsia="Times New Roman" w:hAnsiTheme="majorHAnsi" w:cstheme="majorHAnsi"/>
          <w:lang w:val="en-US"/>
        </w:rPr>
        <w:t>, and thus</w:t>
      </w:r>
      <w:r w:rsidR="00262B51">
        <w:rPr>
          <w:rFonts w:asciiTheme="majorHAnsi" w:eastAsia="Times New Roman" w:hAnsiTheme="majorHAnsi" w:cstheme="majorHAnsi"/>
          <w:lang w:val="en-US"/>
        </w:rPr>
        <w:t>,</w:t>
      </w:r>
      <w:r w:rsidR="007D60DB">
        <w:rPr>
          <w:rFonts w:asciiTheme="majorHAnsi" w:eastAsia="Times New Roman" w:hAnsiTheme="majorHAnsi" w:cstheme="majorHAnsi"/>
          <w:lang w:val="en-US"/>
        </w:rPr>
        <w:t xml:space="preserve"> students’ official enrollment will be in NELC 2241 </w:t>
      </w:r>
      <w:r w:rsidR="00262B51">
        <w:rPr>
          <w:rFonts w:asciiTheme="majorHAnsi" w:eastAsia="Times New Roman" w:hAnsiTheme="majorHAnsi" w:cstheme="majorHAnsi"/>
          <w:lang w:val="en-US"/>
        </w:rPr>
        <w:t>(</w:t>
      </w:r>
      <w:r w:rsidR="007D60DB">
        <w:rPr>
          <w:rFonts w:asciiTheme="majorHAnsi" w:eastAsia="Times New Roman" w:hAnsiTheme="majorHAnsi" w:cstheme="majorHAnsi"/>
          <w:lang w:val="en-US"/>
        </w:rPr>
        <w:t>or Anthropology 2241</w:t>
      </w:r>
      <w:r w:rsidR="00262B51">
        <w:rPr>
          <w:rFonts w:asciiTheme="majorHAnsi" w:eastAsia="Times New Roman" w:hAnsiTheme="majorHAnsi" w:cstheme="majorHAnsi"/>
          <w:lang w:val="en-US"/>
        </w:rPr>
        <w:t>)</w:t>
      </w:r>
      <w:r w:rsidR="007D60DB">
        <w:rPr>
          <w:rFonts w:asciiTheme="majorHAnsi" w:eastAsia="Times New Roman" w:hAnsiTheme="majorHAnsi" w:cstheme="majorHAnsi"/>
          <w:lang w:val="en-US"/>
        </w:rPr>
        <w:t>.</w:t>
      </w:r>
    </w:p>
    <w:p w14:paraId="1FFBEB9C" w14:textId="77777777" w:rsidR="004B0AC8" w:rsidRDefault="004B0AC8" w:rsidP="004B0AC8">
      <w:pPr>
        <w:spacing w:line="240" w:lineRule="auto"/>
        <w:rPr>
          <w:rFonts w:asciiTheme="majorHAnsi" w:eastAsia="Times New Roman" w:hAnsiTheme="majorHAnsi" w:cstheme="majorHAnsi"/>
          <w:lang w:val="en-US"/>
        </w:rPr>
      </w:pPr>
    </w:p>
    <w:p w14:paraId="62596383" w14:textId="1B2B271D" w:rsidR="00B011B3" w:rsidRDefault="00B011B3" w:rsidP="00B011B3">
      <w:pPr>
        <w:pStyle w:val="ListParagraph"/>
        <w:numPr>
          <w:ilvl w:val="1"/>
          <w:numId w:val="39"/>
        </w:numPr>
        <w:rPr>
          <w:rFonts w:asciiTheme="majorHAnsi" w:eastAsia="Times New Roman" w:hAnsiTheme="majorHAnsi" w:cstheme="majorHAnsi"/>
          <w:lang w:val="en-US"/>
        </w:rPr>
      </w:pPr>
      <w:r w:rsidRPr="00B011B3">
        <w:rPr>
          <w:rFonts w:asciiTheme="majorHAnsi" w:eastAsia="Times New Roman" w:hAnsiTheme="majorHAnsi" w:cstheme="majorHAnsi"/>
          <w:i/>
          <w:iCs/>
          <w:lang w:val="en-US"/>
        </w:rPr>
        <w:t>Recommendation</w:t>
      </w:r>
      <w:r w:rsidRPr="00B011B3">
        <w:rPr>
          <w:rFonts w:asciiTheme="majorHAnsi" w:eastAsia="Times New Roman" w:hAnsiTheme="majorHAnsi" w:cstheme="majorHAnsi"/>
          <w:lang w:val="en-US"/>
        </w:rPr>
        <w:t>: The Panel recommends that the department</w:t>
      </w:r>
      <w:r w:rsidR="00262B51">
        <w:rPr>
          <w:rFonts w:asciiTheme="majorHAnsi" w:eastAsia="Times New Roman" w:hAnsiTheme="majorHAnsi" w:cstheme="majorHAnsi"/>
          <w:lang w:val="en-US"/>
        </w:rPr>
        <w:t>s</w:t>
      </w:r>
      <w:r w:rsidRPr="00B011B3">
        <w:rPr>
          <w:rFonts w:asciiTheme="majorHAnsi" w:eastAsia="Times New Roman" w:hAnsiTheme="majorHAnsi" w:cstheme="majorHAnsi"/>
          <w:lang w:val="en-US"/>
        </w:rPr>
        <w:t xml:space="preserve"> use the most up-to-date version of the Mental Health statement (syllabus pg. </w:t>
      </w:r>
      <w:r>
        <w:rPr>
          <w:rFonts w:asciiTheme="majorHAnsi" w:eastAsia="Times New Roman" w:hAnsiTheme="majorHAnsi" w:cstheme="majorHAnsi"/>
          <w:lang w:val="en-US"/>
        </w:rPr>
        <w:t xml:space="preserve">10-11 </w:t>
      </w:r>
      <w:r w:rsidRPr="00B011B3">
        <w:rPr>
          <w:rFonts w:asciiTheme="majorHAnsi" w:eastAsia="Times New Roman" w:hAnsiTheme="majorHAnsi" w:cstheme="majorHAnsi"/>
          <w:lang w:val="en-US"/>
        </w:rPr>
        <w:t>under “</w:t>
      </w:r>
      <w:r>
        <w:rPr>
          <w:rFonts w:asciiTheme="majorHAnsi" w:eastAsia="Times New Roman" w:hAnsiTheme="majorHAnsi" w:cstheme="majorHAnsi"/>
          <w:lang w:val="en-US"/>
        </w:rPr>
        <w:t>Personal Well-Being and Mental Health</w:t>
      </w:r>
      <w:r w:rsidRPr="00B011B3">
        <w:rPr>
          <w:rFonts w:asciiTheme="majorHAnsi" w:eastAsia="Times New Roman" w:hAnsiTheme="majorHAnsi" w:cstheme="majorHAnsi"/>
          <w:lang w:val="en-US"/>
        </w:rPr>
        <w:t xml:space="preserve">”), as the phone number and name of the suicide prevention hotline have changed.  An up-to-date statement can be found here: </w:t>
      </w:r>
      <w:hyperlink r:id="rId7" w:history="1">
        <w:r w:rsidRPr="005012FE">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lang w:val="en-US"/>
        </w:rPr>
        <w:t>.</w:t>
      </w:r>
    </w:p>
    <w:p w14:paraId="5401D9C7" w14:textId="77777777" w:rsidR="004B0AC8" w:rsidRPr="004B0AC8" w:rsidRDefault="004B0AC8" w:rsidP="004B0AC8">
      <w:pPr>
        <w:rPr>
          <w:rFonts w:asciiTheme="majorHAnsi" w:eastAsia="Times New Roman" w:hAnsiTheme="majorHAnsi" w:cstheme="majorHAnsi"/>
          <w:lang w:val="en-US"/>
        </w:rPr>
      </w:pPr>
    </w:p>
    <w:p w14:paraId="7AD3FBAA" w14:textId="618849F7" w:rsidR="009500D7" w:rsidRDefault="009500D7" w:rsidP="009500D7">
      <w:pPr>
        <w:pStyle w:val="ListParagraph"/>
        <w:numPr>
          <w:ilvl w:val="1"/>
          <w:numId w:val="39"/>
        </w:numPr>
        <w:rPr>
          <w:rFonts w:asciiTheme="majorHAnsi" w:eastAsia="Times New Roman" w:hAnsiTheme="majorHAnsi" w:cstheme="majorHAnsi"/>
          <w:lang w:val="en-US"/>
        </w:rPr>
      </w:pPr>
      <w:r w:rsidRPr="009500D7">
        <w:rPr>
          <w:rFonts w:asciiTheme="majorHAnsi" w:eastAsia="Times New Roman" w:hAnsiTheme="majorHAnsi" w:cstheme="majorHAnsi"/>
          <w:i/>
          <w:iCs/>
          <w:lang w:val="en-US"/>
        </w:rPr>
        <w:t>Recommendation:</w:t>
      </w:r>
      <w:r w:rsidRPr="009500D7">
        <w:rPr>
          <w:rFonts w:asciiTheme="majorHAnsi" w:eastAsia="Times New Roman" w:hAnsiTheme="majorHAnsi" w:cstheme="majorHAnsi"/>
          <w:lang w:val="en-US"/>
        </w:rPr>
        <w:t xml:space="preserve"> The Panel recommends that the department</w:t>
      </w:r>
      <w:r w:rsidR="00262B51">
        <w:rPr>
          <w:rFonts w:asciiTheme="majorHAnsi" w:eastAsia="Times New Roman" w:hAnsiTheme="majorHAnsi" w:cstheme="majorHAnsi"/>
          <w:lang w:val="en-US"/>
        </w:rPr>
        <w:t>s</w:t>
      </w:r>
      <w:r w:rsidRPr="009500D7">
        <w:rPr>
          <w:rFonts w:asciiTheme="majorHAnsi" w:eastAsia="Times New Roman" w:hAnsiTheme="majorHAnsi" w:cstheme="majorHAnsi"/>
          <w:lang w:val="en-US"/>
        </w:rPr>
        <w:t xml:space="preserve"> use the most up-to-date version of the Student Life Disabilities Services statement (syllabus pg. 1</w:t>
      </w:r>
      <w:r>
        <w:rPr>
          <w:rFonts w:asciiTheme="majorHAnsi" w:eastAsia="Times New Roman" w:hAnsiTheme="majorHAnsi" w:cstheme="majorHAnsi"/>
          <w:lang w:val="en-US"/>
        </w:rPr>
        <w:t>0</w:t>
      </w:r>
      <w:r w:rsidRPr="009500D7">
        <w:rPr>
          <w:rFonts w:asciiTheme="majorHAnsi" w:eastAsia="Times New Roman" w:hAnsiTheme="majorHAnsi" w:cstheme="majorHAnsi"/>
          <w:lang w:val="en-US"/>
        </w:rPr>
        <w:t xml:space="preserve"> under “Accessibility Accommodations for Students </w:t>
      </w:r>
      <w:proofErr w:type="gramStart"/>
      <w:r w:rsidRPr="009500D7">
        <w:rPr>
          <w:rFonts w:asciiTheme="majorHAnsi" w:eastAsia="Times New Roman" w:hAnsiTheme="majorHAnsi" w:cstheme="majorHAnsi"/>
          <w:lang w:val="en-US"/>
        </w:rPr>
        <w:t>With</w:t>
      </w:r>
      <w:proofErr w:type="gramEnd"/>
      <w:r w:rsidRPr="009500D7">
        <w:rPr>
          <w:rFonts w:asciiTheme="majorHAnsi" w:eastAsia="Times New Roman" w:hAnsiTheme="majorHAnsi" w:cstheme="majorHAnsi"/>
          <w:lang w:val="en-US"/>
        </w:rPr>
        <w:t xml:space="preserve"> Disabilities”).  An up-to-date statement can be found here: </w:t>
      </w:r>
      <w:hyperlink r:id="rId8" w:history="1">
        <w:r w:rsidRPr="005012FE">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lang w:val="en-US"/>
        </w:rPr>
        <w:t>.</w:t>
      </w:r>
    </w:p>
    <w:p w14:paraId="41441981" w14:textId="77777777" w:rsidR="004B0AC8" w:rsidRPr="004B0AC8" w:rsidRDefault="004B0AC8" w:rsidP="004B0AC8">
      <w:pPr>
        <w:rPr>
          <w:rFonts w:asciiTheme="majorHAnsi" w:eastAsia="Times New Roman" w:hAnsiTheme="majorHAnsi" w:cstheme="majorHAnsi"/>
          <w:lang w:val="en-US"/>
        </w:rPr>
      </w:pPr>
    </w:p>
    <w:p w14:paraId="484B5F66" w14:textId="621AF963" w:rsidR="00D34C54" w:rsidRPr="00D34C54" w:rsidRDefault="00D34C54" w:rsidP="00DD254F">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Price-Spratlen, Ponce; unanimously approved with </w:t>
      </w:r>
      <w:r w:rsidR="0095512B">
        <w:rPr>
          <w:rFonts w:asciiTheme="majorHAnsi" w:eastAsia="Times New Roman" w:hAnsiTheme="majorHAnsi" w:cstheme="majorHAnsi"/>
          <w:b/>
          <w:bCs/>
          <w:lang w:val="en-US"/>
        </w:rPr>
        <w:t>one c</w:t>
      </w:r>
      <w:r w:rsidRPr="0095512B">
        <w:rPr>
          <w:rFonts w:asciiTheme="majorHAnsi" w:eastAsia="Times New Roman" w:hAnsiTheme="majorHAnsi" w:cstheme="majorHAnsi"/>
          <w:b/>
          <w:bCs/>
          <w:lang w:val="en-US"/>
        </w:rPr>
        <w:t>ontingency</w:t>
      </w:r>
      <w:r w:rsidR="0095512B">
        <w:rPr>
          <w:rFonts w:asciiTheme="majorHAnsi" w:eastAsia="Times New Roman" w:hAnsiTheme="majorHAnsi" w:cstheme="majorHAnsi"/>
          <w:b/>
          <w:bCs/>
          <w:lang w:val="en-US"/>
        </w:rPr>
        <w:t xml:space="preserve"> </w:t>
      </w:r>
      <w:r w:rsidR="0095512B">
        <w:rPr>
          <w:rFonts w:asciiTheme="majorHAnsi" w:eastAsia="Times New Roman" w:hAnsiTheme="majorHAnsi" w:cstheme="majorHAnsi"/>
          <w:lang w:val="en-US"/>
        </w:rPr>
        <w:t xml:space="preserve">(in bold above) and </w:t>
      </w:r>
      <w:r w:rsidR="0095512B">
        <w:rPr>
          <w:rFonts w:asciiTheme="majorHAnsi" w:eastAsia="Times New Roman" w:hAnsiTheme="majorHAnsi" w:cstheme="majorHAnsi"/>
          <w:i/>
          <w:iCs/>
          <w:lang w:val="en-US"/>
        </w:rPr>
        <w:t xml:space="preserve">four recommendations </w:t>
      </w:r>
      <w:r w:rsidR="0095512B">
        <w:rPr>
          <w:rFonts w:asciiTheme="majorHAnsi" w:eastAsia="Times New Roman" w:hAnsiTheme="majorHAnsi" w:cstheme="majorHAnsi"/>
          <w:lang w:val="en-US"/>
        </w:rPr>
        <w:t>(in italics above).</w:t>
      </w:r>
    </w:p>
    <w:p w14:paraId="702156E9" w14:textId="2CEE8151" w:rsidR="00DD254F" w:rsidRPr="00DD254F" w:rsidRDefault="00DD254F" w:rsidP="00DD254F">
      <w:pPr>
        <w:spacing w:line="240" w:lineRule="auto"/>
        <w:rPr>
          <w:rFonts w:asciiTheme="majorHAnsi" w:eastAsia="Times New Roman" w:hAnsiTheme="majorHAnsi" w:cstheme="majorHAnsi"/>
          <w:lang w:val="en-US"/>
        </w:rPr>
      </w:pPr>
    </w:p>
    <w:p w14:paraId="3DB02692" w14:textId="20F04750" w:rsidR="00DD254F" w:rsidRDefault="00DD254F" w:rsidP="00DD254F">
      <w:pPr>
        <w:numPr>
          <w:ilvl w:val="0"/>
          <w:numId w:val="39"/>
        </w:numPr>
        <w:spacing w:line="240" w:lineRule="auto"/>
        <w:rPr>
          <w:rFonts w:asciiTheme="majorHAnsi" w:eastAsia="Times New Roman" w:hAnsiTheme="majorHAnsi" w:cstheme="majorHAnsi"/>
          <w:lang w:val="en-US"/>
        </w:rPr>
      </w:pPr>
      <w:r w:rsidRPr="00DD254F">
        <w:rPr>
          <w:rFonts w:asciiTheme="majorHAnsi" w:eastAsia="Times New Roman" w:hAnsiTheme="majorHAnsi" w:cstheme="majorHAnsi"/>
          <w:lang w:val="en-US"/>
        </w:rPr>
        <w:t>Sociology 1101 (existing course with GEL Social Science—Organizations and Polities, GEL Diversity—Social Diversity, and GEN Foundation Social and Behavioral Sciences; requesting GEN Foundation REGD)</w:t>
      </w:r>
    </w:p>
    <w:p w14:paraId="3CEC85A7" w14:textId="77777777" w:rsidR="00C30E80" w:rsidRDefault="00C30E80" w:rsidP="00C30E80">
      <w:pPr>
        <w:spacing w:line="240" w:lineRule="auto"/>
        <w:ind w:left="720"/>
        <w:rPr>
          <w:rFonts w:asciiTheme="majorHAnsi" w:eastAsia="Times New Roman" w:hAnsiTheme="majorHAnsi" w:cstheme="majorHAnsi"/>
          <w:lang w:val="en-US"/>
        </w:rPr>
      </w:pPr>
    </w:p>
    <w:p w14:paraId="15673708" w14:textId="6905B267" w:rsidR="00AC58BB" w:rsidRDefault="00AC58BB" w:rsidP="00AC58BB">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would like to express to the department their appreciation for the submission and their understanding of the challenges that are inherent in designing and/or re</w:t>
      </w:r>
      <w:r w:rsidR="00C30E80">
        <w:rPr>
          <w:rFonts w:asciiTheme="majorHAnsi" w:eastAsia="Times New Roman" w:hAnsiTheme="majorHAnsi" w:cstheme="majorHAnsi"/>
          <w:lang w:val="en-US"/>
        </w:rPr>
        <w:t>-</w:t>
      </w:r>
      <w:r>
        <w:rPr>
          <w:rFonts w:asciiTheme="majorHAnsi" w:eastAsia="Times New Roman" w:hAnsiTheme="majorHAnsi" w:cstheme="majorHAnsi"/>
          <w:lang w:val="en-US"/>
        </w:rPr>
        <w:t>designing a c</w:t>
      </w:r>
      <w:r w:rsidR="00C30E80">
        <w:rPr>
          <w:rFonts w:asciiTheme="majorHAnsi" w:eastAsia="Times New Roman" w:hAnsiTheme="majorHAnsi" w:cstheme="majorHAnsi"/>
          <w:lang w:val="en-US"/>
        </w:rPr>
        <w:t>ourse</w:t>
      </w:r>
      <w:r>
        <w:rPr>
          <w:rFonts w:asciiTheme="majorHAnsi" w:eastAsia="Times New Roman" w:hAnsiTheme="majorHAnsi" w:cstheme="majorHAnsi"/>
          <w:lang w:val="en-US"/>
        </w:rPr>
        <w:t xml:space="preserve"> like Sociology 1101.  They acknowledge that this course serves several curricular purposes already (general education, major/minor pre-requisite, pre-health pre-requisite, etc.) and understand that making the requested changes </w:t>
      </w:r>
      <w:r w:rsidRPr="00C14D1A">
        <w:rPr>
          <w:rFonts w:asciiTheme="majorHAnsi" w:eastAsia="Times New Roman" w:hAnsiTheme="majorHAnsi" w:cstheme="majorHAnsi"/>
          <w:lang w:val="en-US"/>
        </w:rPr>
        <w:t>below for inclusion in the Race, Ethnicity and Gender Diversity category may prove challenging.  Should the department choose not to resubmit, the Panel is excited to know that this important course, which is taken by so many students, will be</w:t>
      </w:r>
      <w:r>
        <w:rPr>
          <w:rFonts w:asciiTheme="majorHAnsi" w:eastAsia="Times New Roman" w:hAnsiTheme="majorHAnsi" w:cstheme="majorHAnsi"/>
          <w:lang w:val="en-US"/>
        </w:rPr>
        <w:t xml:space="preserve"> taught with REGD concepts and ideas in mind</w:t>
      </w:r>
      <w:r w:rsidR="00C30E80">
        <w:rPr>
          <w:rFonts w:asciiTheme="majorHAnsi" w:eastAsia="Times New Roman" w:hAnsiTheme="majorHAnsi" w:cstheme="majorHAnsi"/>
          <w:lang w:val="en-US"/>
        </w:rPr>
        <w:t>, even if they are not able to be the central focus of the course</w:t>
      </w:r>
      <w:r>
        <w:rPr>
          <w:rFonts w:asciiTheme="majorHAnsi" w:eastAsia="Times New Roman" w:hAnsiTheme="majorHAnsi" w:cstheme="majorHAnsi"/>
          <w:lang w:val="en-US"/>
        </w:rPr>
        <w:t>.</w:t>
      </w:r>
    </w:p>
    <w:p w14:paraId="7CAD9DD0" w14:textId="77777777" w:rsidR="00AC58BB" w:rsidRDefault="00AC58BB" w:rsidP="00AC58BB">
      <w:pPr>
        <w:pStyle w:val="ListParagraph"/>
        <w:rPr>
          <w:rFonts w:asciiTheme="majorHAnsi" w:eastAsia="Times New Roman" w:hAnsiTheme="majorHAnsi" w:cstheme="majorHAnsi"/>
          <w:lang w:val="en-US"/>
        </w:rPr>
      </w:pPr>
    </w:p>
    <w:p w14:paraId="06102F0D" w14:textId="10FDC1DB" w:rsidR="00AC58BB" w:rsidRDefault="003C3A9B" w:rsidP="00AC58BB">
      <w:pPr>
        <w:numPr>
          <w:ilvl w:val="1"/>
          <w:numId w:val="39"/>
        </w:numPr>
        <w:spacing w:line="240" w:lineRule="auto"/>
        <w:rPr>
          <w:rFonts w:asciiTheme="majorHAnsi" w:eastAsia="Times New Roman" w:hAnsiTheme="majorHAnsi" w:cstheme="majorHAnsi"/>
          <w:lang w:val="en-US"/>
        </w:rPr>
      </w:pPr>
      <w:r w:rsidRPr="00AC58BB">
        <w:rPr>
          <w:rFonts w:asciiTheme="majorHAnsi" w:eastAsia="Times New Roman" w:hAnsiTheme="majorHAnsi" w:cstheme="majorHAnsi"/>
          <w:lang w:val="en-US"/>
        </w:rPr>
        <w:t xml:space="preserve">The Panel </w:t>
      </w:r>
      <w:r w:rsidR="00AC58BB" w:rsidRPr="00AC58BB">
        <w:rPr>
          <w:rFonts w:asciiTheme="majorHAnsi" w:eastAsia="Times New Roman" w:hAnsiTheme="majorHAnsi" w:cstheme="majorHAnsi"/>
          <w:lang w:val="en-US"/>
        </w:rPr>
        <w:t>requests</w:t>
      </w:r>
      <w:r w:rsidRPr="00AC58BB">
        <w:rPr>
          <w:rFonts w:asciiTheme="majorHAnsi" w:eastAsia="Times New Roman" w:hAnsiTheme="majorHAnsi" w:cstheme="majorHAnsi"/>
          <w:lang w:val="en-US"/>
        </w:rPr>
        <w:t xml:space="preserve"> that the department i</w:t>
      </w:r>
      <w:r w:rsidR="009015E9" w:rsidRPr="00AC58BB">
        <w:rPr>
          <w:rFonts w:asciiTheme="majorHAnsi" w:eastAsia="Times New Roman" w:hAnsiTheme="majorHAnsi" w:cstheme="majorHAnsi"/>
          <w:lang w:val="en-US"/>
        </w:rPr>
        <w:t xml:space="preserve">nclude </w:t>
      </w:r>
      <w:r w:rsidRPr="00AC58BB">
        <w:rPr>
          <w:rFonts w:asciiTheme="majorHAnsi" w:eastAsia="Times New Roman" w:hAnsiTheme="majorHAnsi" w:cstheme="majorHAnsi"/>
          <w:lang w:val="en-US"/>
        </w:rPr>
        <w:t>some</w:t>
      </w:r>
      <w:r w:rsidR="009015E9" w:rsidRPr="00AC58BB">
        <w:rPr>
          <w:rFonts w:asciiTheme="majorHAnsi" w:eastAsia="Times New Roman" w:hAnsiTheme="majorHAnsi" w:cstheme="majorHAnsi"/>
          <w:lang w:val="en-US"/>
        </w:rPr>
        <w:t xml:space="preserve"> foundational study of race, ethnicity, and gender much earlier in the course.  The Panel notes and appreciates the REGD-centered unit on stratification that students will approach in the last 1/3 of the course</w:t>
      </w:r>
      <w:r w:rsidR="00AC58BB" w:rsidRPr="00AC58BB">
        <w:rPr>
          <w:rFonts w:asciiTheme="majorHAnsi" w:eastAsia="Times New Roman" w:hAnsiTheme="majorHAnsi" w:cstheme="majorHAnsi"/>
          <w:lang w:val="en-US"/>
        </w:rPr>
        <w:t xml:space="preserve"> (syllabus pg. 10)</w:t>
      </w:r>
      <w:r w:rsidR="009015E9" w:rsidRPr="00AC58BB">
        <w:rPr>
          <w:rFonts w:asciiTheme="majorHAnsi" w:eastAsia="Times New Roman" w:hAnsiTheme="majorHAnsi" w:cstheme="majorHAnsi"/>
          <w:lang w:val="en-US"/>
        </w:rPr>
        <w:t xml:space="preserve"> </w:t>
      </w:r>
      <w:r w:rsidR="004560EE" w:rsidRPr="00AC58BB">
        <w:rPr>
          <w:rFonts w:asciiTheme="majorHAnsi" w:eastAsia="Times New Roman" w:hAnsiTheme="majorHAnsi" w:cstheme="majorHAnsi"/>
          <w:lang w:val="en-US"/>
        </w:rPr>
        <w:t xml:space="preserve">but they are concerned </w:t>
      </w:r>
      <w:r w:rsidRPr="00AC58BB">
        <w:rPr>
          <w:rFonts w:asciiTheme="majorHAnsi" w:eastAsia="Times New Roman" w:hAnsiTheme="majorHAnsi" w:cstheme="majorHAnsi"/>
          <w:lang w:val="en-US"/>
        </w:rPr>
        <w:t xml:space="preserve">about </w:t>
      </w:r>
      <w:r w:rsidR="00AC58BB" w:rsidRPr="00AC58BB">
        <w:rPr>
          <w:rFonts w:asciiTheme="majorHAnsi" w:eastAsia="Times New Roman" w:hAnsiTheme="majorHAnsi" w:cstheme="majorHAnsi"/>
          <w:lang w:val="en-US"/>
        </w:rPr>
        <w:t xml:space="preserve">the ability of students to </w:t>
      </w:r>
      <w:r w:rsidRPr="00AC58BB">
        <w:rPr>
          <w:rFonts w:asciiTheme="majorHAnsi" w:eastAsia="Times New Roman" w:hAnsiTheme="majorHAnsi" w:cstheme="majorHAnsi"/>
          <w:lang w:val="en-US"/>
        </w:rPr>
        <w:t xml:space="preserve"> integrate</w:t>
      </w:r>
      <w:r w:rsidR="00293F5C">
        <w:rPr>
          <w:rFonts w:asciiTheme="majorHAnsi" w:eastAsia="Times New Roman" w:hAnsiTheme="majorHAnsi" w:cstheme="majorHAnsi"/>
          <w:lang w:val="en-US"/>
        </w:rPr>
        <w:t xml:space="preserve"> REGD ideas </w:t>
      </w:r>
      <w:r w:rsidRPr="00AC58BB">
        <w:rPr>
          <w:rFonts w:asciiTheme="majorHAnsi" w:eastAsia="Times New Roman" w:hAnsiTheme="majorHAnsi" w:cstheme="majorHAnsi"/>
          <w:lang w:val="en-US"/>
        </w:rPr>
        <w:t>with the important topics covered during the first 2/3’s of the course</w:t>
      </w:r>
      <w:r w:rsidR="00262B51">
        <w:rPr>
          <w:rFonts w:asciiTheme="majorHAnsi" w:eastAsia="Times New Roman" w:hAnsiTheme="majorHAnsi" w:cstheme="majorHAnsi"/>
          <w:lang w:val="en-US"/>
        </w:rPr>
        <w:t xml:space="preserve"> if they are not provided with this foundational knowledge.</w:t>
      </w:r>
    </w:p>
    <w:p w14:paraId="35E9BA40" w14:textId="77777777" w:rsidR="00AC58BB" w:rsidRDefault="00AC58BB" w:rsidP="00AC58BB">
      <w:pPr>
        <w:pStyle w:val="ListParagraph"/>
        <w:rPr>
          <w:rFonts w:asciiTheme="majorHAnsi" w:eastAsia="Times New Roman" w:hAnsiTheme="majorHAnsi" w:cstheme="majorHAnsi"/>
          <w:lang w:val="en-US"/>
        </w:rPr>
      </w:pPr>
    </w:p>
    <w:p w14:paraId="3083C9C6" w14:textId="45233E48" w:rsidR="008476D3" w:rsidRDefault="008476D3" w:rsidP="00AC58BB">
      <w:pPr>
        <w:numPr>
          <w:ilvl w:val="1"/>
          <w:numId w:val="39"/>
        </w:numPr>
        <w:spacing w:line="240" w:lineRule="auto"/>
        <w:rPr>
          <w:rFonts w:asciiTheme="majorHAnsi" w:eastAsia="Times New Roman" w:hAnsiTheme="majorHAnsi" w:cstheme="majorHAnsi"/>
          <w:lang w:val="en-US"/>
        </w:rPr>
      </w:pPr>
      <w:r w:rsidRPr="00AC58BB">
        <w:rPr>
          <w:rFonts w:asciiTheme="majorHAnsi" w:eastAsia="Times New Roman" w:hAnsiTheme="majorHAnsi" w:cstheme="majorHAnsi"/>
          <w:lang w:val="en-US"/>
        </w:rPr>
        <w:t xml:space="preserve">The Panel asks that the course assignment descriptions </w:t>
      </w:r>
      <w:r w:rsidR="00AC58BB">
        <w:rPr>
          <w:rFonts w:asciiTheme="majorHAnsi" w:eastAsia="Times New Roman" w:hAnsiTheme="majorHAnsi" w:cstheme="majorHAnsi"/>
          <w:lang w:val="en-US"/>
        </w:rPr>
        <w:t>explain</w:t>
      </w:r>
      <w:r w:rsidRPr="00AC58BB">
        <w:rPr>
          <w:rFonts w:asciiTheme="majorHAnsi" w:eastAsia="Times New Roman" w:hAnsiTheme="majorHAnsi" w:cstheme="majorHAnsi"/>
          <w:lang w:val="en-US"/>
        </w:rPr>
        <w:t xml:space="preserve"> more clearly how REGD topics will be integrated into activities such as </w:t>
      </w:r>
      <w:r w:rsidR="00AC58BB" w:rsidRPr="00AC58BB">
        <w:rPr>
          <w:rFonts w:asciiTheme="majorHAnsi" w:eastAsia="Times New Roman" w:hAnsiTheme="majorHAnsi" w:cstheme="majorHAnsi"/>
          <w:lang w:val="en-US"/>
        </w:rPr>
        <w:t>the</w:t>
      </w:r>
      <w:r w:rsidRPr="00AC58BB">
        <w:rPr>
          <w:rFonts w:asciiTheme="majorHAnsi" w:eastAsia="Times New Roman" w:hAnsiTheme="majorHAnsi" w:cstheme="majorHAnsi"/>
          <w:lang w:val="en-US"/>
        </w:rPr>
        <w:t xml:space="preserve"> group exercises, the group assignment/presentation, and the quizzes/exams.</w:t>
      </w:r>
    </w:p>
    <w:p w14:paraId="75794355" w14:textId="77777777" w:rsidR="00C30E80" w:rsidRDefault="00C30E80" w:rsidP="00C30E80">
      <w:pPr>
        <w:spacing w:line="240" w:lineRule="auto"/>
        <w:rPr>
          <w:rFonts w:asciiTheme="majorHAnsi" w:eastAsia="Times New Roman" w:hAnsiTheme="majorHAnsi" w:cstheme="majorHAnsi"/>
          <w:lang w:val="en-US"/>
        </w:rPr>
      </w:pPr>
    </w:p>
    <w:p w14:paraId="48191C8C" w14:textId="715A8E2E" w:rsidR="00C30E80" w:rsidRDefault="00C30E80" w:rsidP="00C30E80">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asks that the department include more explicit instruction surrounding the intersection of categories including race, gender, and ethnicity</w:t>
      </w:r>
      <w:r w:rsidR="00262B51">
        <w:rPr>
          <w:rFonts w:asciiTheme="majorHAnsi" w:eastAsia="Times New Roman" w:hAnsiTheme="majorHAnsi" w:cstheme="majorHAnsi"/>
          <w:lang w:val="en-US"/>
        </w:rPr>
        <w:t>, as outlined in ELO 1.3.</w:t>
      </w:r>
    </w:p>
    <w:p w14:paraId="06690CB1" w14:textId="77777777" w:rsidR="00C30E80" w:rsidRDefault="00C30E80" w:rsidP="00C30E80">
      <w:pPr>
        <w:spacing w:line="240" w:lineRule="auto"/>
        <w:rPr>
          <w:rFonts w:asciiTheme="majorHAnsi" w:eastAsia="Times New Roman" w:hAnsiTheme="majorHAnsi" w:cstheme="majorHAnsi"/>
          <w:lang w:val="en-US"/>
        </w:rPr>
      </w:pPr>
    </w:p>
    <w:p w14:paraId="74192C9D" w14:textId="63C83EE6" w:rsidR="00C30E80" w:rsidRDefault="00C30E80" w:rsidP="00C30E80">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asks that the department include the language of the REGD category in the initial paragraph of the course description (syllabus pg. 1) rather than only in the numbered points that follow</w:t>
      </w:r>
      <w:r w:rsidR="00262B51">
        <w:rPr>
          <w:rFonts w:asciiTheme="majorHAnsi" w:eastAsia="Times New Roman" w:hAnsiTheme="majorHAnsi" w:cstheme="majorHAnsi"/>
          <w:lang w:val="en-US"/>
        </w:rPr>
        <w:t>,</w:t>
      </w:r>
      <w:r>
        <w:rPr>
          <w:rFonts w:asciiTheme="majorHAnsi" w:eastAsia="Times New Roman" w:hAnsiTheme="majorHAnsi" w:cstheme="majorHAnsi"/>
          <w:lang w:val="en-US"/>
        </w:rPr>
        <w:t xml:space="preserve"> so that it is clear to students that the course’s focus is an intersectional study of race, </w:t>
      </w:r>
      <w:r w:rsidR="00262B51">
        <w:rPr>
          <w:rFonts w:asciiTheme="majorHAnsi" w:eastAsia="Times New Roman" w:hAnsiTheme="majorHAnsi" w:cstheme="majorHAnsi"/>
          <w:lang w:val="en-US"/>
        </w:rPr>
        <w:t>ethnicity,</w:t>
      </w:r>
      <w:r>
        <w:rPr>
          <w:rFonts w:asciiTheme="majorHAnsi" w:eastAsia="Times New Roman" w:hAnsiTheme="majorHAnsi" w:cstheme="majorHAnsi"/>
          <w:lang w:val="en-US"/>
        </w:rPr>
        <w:t xml:space="preserve"> and gender.  </w:t>
      </w:r>
    </w:p>
    <w:p w14:paraId="0E5EC463" w14:textId="77777777" w:rsidR="004B0AC8" w:rsidRDefault="004B0AC8" w:rsidP="004B0AC8">
      <w:pPr>
        <w:pStyle w:val="ListParagraph"/>
        <w:rPr>
          <w:rFonts w:asciiTheme="majorHAnsi" w:eastAsia="Times New Roman" w:hAnsiTheme="majorHAnsi" w:cstheme="majorHAnsi"/>
          <w:lang w:val="en-US"/>
        </w:rPr>
      </w:pPr>
    </w:p>
    <w:p w14:paraId="1CC00A7B" w14:textId="435E0A83" w:rsidR="004B0AC8" w:rsidRPr="00C30E80" w:rsidRDefault="004B0AC8" w:rsidP="00C30E80">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asks that the department include </w:t>
      </w:r>
      <w:r w:rsidR="00293F5C">
        <w:rPr>
          <w:rFonts w:asciiTheme="majorHAnsi" w:eastAsia="Times New Roman" w:hAnsiTheme="majorHAnsi" w:cstheme="majorHAnsi"/>
          <w:lang w:val="en-US"/>
        </w:rPr>
        <w:t xml:space="preserve">in the syllabus (pg.1)  a listing of all four of the Legacy General Education (GEL) and New General Education (GEN) categories that  the course fulfills, as well as </w:t>
      </w:r>
      <w:proofErr w:type="gramStart"/>
      <w:r w:rsidR="00293F5C">
        <w:rPr>
          <w:rFonts w:asciiTheme="majorHAnsi" w:eastAsia="Times New Roman" w:hAnsiTheme="majorHAnsi" w:cstheme="majorHAnsi"/>
          <w:lang w:val="en-US"/>
        </w:rPr>
        <w:t>all of</w:t>
      </w:r>
      <w:proofErr w:type="gramEnd"/>
      <w:r w:rsidR="00293F5C">
        <w:rPr>
          <w:rFonts w:asciiTheme="majorHAnsi" w:eastAsia="Times New Roman" w:hAnsiTheme="majorHAnsi" w:cstheme="majorHAnsi"/>
          <w:lang w:val="en-US"/>
        </w:rPr>
        <w:t xml:space="preserve"> those categories’ goals and ELO’s, and a short explanation of how this course fulfills those goals and ELOs.  As a reminder, the course proposes to fulfill the following general education categories: GEL Social Science (Organizations and Polities), GEL Diversity: Social Diversity in the US </w:t>
      </w:r>
      <w:r w:rsidR="00293F5C" w:rsidRPr="00293F5C">
        <w:rPr>
          <w:rFonts w:asciiTheme="majorHAnsi" w:eastAsia="Times New Roman" w:hAnsiTheme="majorHAnsi" w:cstheme="majorHAnsi"/>
          <w:i/>
          <w:iCs/>
          <w:lang w:val="en-US"/>
        </w:rPr>
        <w:t>and</w:t>
      </w:r>
      <w:r w:rsidR="00293F5C">
        <w:rPr>
          <w:rFonts w:asciiTheme="majorHAnsi" w:eastAsia="Times New Roman" w:hAnsiTheme="majorHAnsi" w:cstheme="majorHAnsi"/>
          <w:lang w:val="en-US"/>
        </w:rPr>
        <w:t xml:space="preserve"> GEN Foundations: Social and Behavioral Sciences and GEN Foundations: Race, Ethnicity, and Gender Diversity.  Goals and ELOs for the GEN Foundations categories can be found here: </w:t>
      </w:r>
      <w:hyperlink r:id="rId9" w:history="1">
        <w:r w:rsidR="00293F5C" w:rsidRPr="005012FE">
          <w:rPr>
            <w:rStyle w:val="Hyperlink"/>
            <w:rFonts w:asciiTheme="majorHAnsi" w:eastAsia="Times New Roman" w:hAnsiTheme="majorHAnsi" w:cstheme="majorHAnsi"/>
            <w:lang w:val="en-US"/>
          </w:rPr>
          <w:t>https://asccas.osu.edu/new-general-education-gen-goals-and-elos</w:t>
        </w:r>
      </w:hyperlink>
      <w:r w:rsidR="00293F5C">
        <w:rPr>
          <w:rFonts w:asciiTheme="majorHAnsi" w:eastAsia="Times New Roman" w:hAnsiTheme="majorHAnsi" w:cstheme="majorHAnsi"/>
          <w:lang w:val="en-US"/>
        </w:rPr>
        <w:t xml:space="preserve">, and goals and </w:t>
      </w:r>
      <w:r w:rsidR="00293F5C">
        <w:rPr>
          <w:rFonts w:asciiTheme="majorHAnsi" w:eastAsia="Times New Roman" w:hAnsiTheme="majorHAnsi" w:cstheme="majorHAnsi"/>
          <w:lang w:val="en-US"/>
        </w:rPr>
        <w:lastRenderedPageBreak/>
        <w:t xml:space="preserve">ELOs for the GEL categories can be found here: </w:t>
      </w:r>
      <w:hyperlink r:id="rId10" w:history="1">
        <w:r w:rsidR="00293F5C" w:rsidRPr="005012FE">
          <w:rPr>
            <w:rStyle w:val="Hyperlink"/>
            <w:rFonts w:asciiTheme="majorHAnsi" w:eastAsia="Times New Roman" w:hAnsiTheme="majorHAnsi" w:cstheme="majorHAnsi"/>
            <w:lang w:val="en-US"/>
          </w:rPr>
          <w:t>https://asccas.osu.edu/legacy-general-education-gel-goals-and-elos</w:t>
        </w:r>
      </w:hyperlink>
      <w:r w:rsidR="00293F5C">
        <w:rPr>
          <w:rFonts w:asciiTheme="majorHAnsi" w:eastAsia="Times New Roman" w:hAnsiTheme="majorHAnsi" w:cstheme="majorHAnsi"/>
          <w:lang w:val="en-US"/>
        </w:rPr>
        <w:t xml:space="preserve">. </w:t>
      </w:r>
    </w:p>
    <w:p w14:paraId="4F116B37" w14:textId="77777777" w:rsidR="009015E9" w:rsidRDefault="009015E9" w:rsidP="009015E9">
      <w:pPr>
        <w:spacing w:line="240" w:lineRule="auto"/>
        <w:ind w:left="720"/>
        <w:rPr>
          <w:rFonts w:asciiTheme="majorHAnsi" w:eastAsia="Times New Roman" w:hAnsiTheme="majorHAnsi" w:cstheme="majorHAnsi"/>
          <w:lang w:val="en-US"/>
        </w:rPr>
      </w:pPr>
    </w:p>
    <w:p w14:paraId="374F43E7" w14:textId="3008303F" w:rsidR="007F0256" w:rsidRDefault="007E0E0C" w:rsidP="00D34C54">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notes that the GEN Foundations: REGD Goals and ELOs chart (syllabus pg. 1-4) is quite lengthy, and that many of the explanations seem more geared toward the reviewers on the Panel rather than the students in the course.  They recommend that the department make the explanations </w:t>
      </w:r>
      <w:r w:rsidR="003C3A9B">
        <w:rPr>
          <w:rFonts w:asciiTheme="majorHAnsi" w:eastAsia="Times New Roman" w:hAnsiTheme="majorHAnsi" w:cstheme="majorHAnsi"/>
          <w:lang w:val="en-US"/>
        </w:rPr>
        <w:t>briefer</w:t>
      </w:r>
      <w:r>
        <w:rPr>
          <w:rFonts w:asciiTheme="majorHAnsi" w:eastAsia="Times New Roman" w:hAnsiTheme="majorHAnsi" w:cstheme="majorHAnsi"/>
          <w:lang w:val="en-US"/>
        </w:rPr>
        <w:t xml:space="preserve"> (thus making the chart more accessible</w:t>
      </w:r>
      <w:r w:rsidR="003C3A9B">
        <w:rPr>
          <w:rFonts w:asciiTheme="majorHAnsi" w:eastAsia="Times New Roman" w:hAnsiTheme="majorHAnsi" w:cstheme="majorHAnsi"/>
          <w:lang w:val="en-US"/>
        </w:rPr>
        <w:t>/easy to read</w:t>
      </w:r>
      <w:r>
        <w:rPr>
          <w:rFonts w:asciiTheme="majorHAnsi" w:eastAsia="Times New Roman" w:hAnsiTheme="majorHAnsi" w:cstheme="majorHAnsi"/>
          <w:lang w:val="en-US"/>
        </w:rPr>
        <w:t xml:space="preserve">) </w:t>
      </w:r>
      <w:r w:rsidR="00293F5C">
        <w:rPr>
          <w:rFonts w:asciiTheme="majorHAnsi" w:eastAsia="Times New Roman" w:hAnsiTheme="majorHAnsi" w:cstheme="majorHAnsi"/>
          <w:lang w:val="en-US"/>
        </w:rPr>
        <w:t>and/</w:t>
      </w:r>
      <w:r>
        <w:rPr>
          <w:rFonts w:asciiTheme="majorHAnsi" w:eastAsia="Times New Roman" w:hAnsiTheme="majorHAnsi" w:cstheme="majorHAnsi"/>
          <w:lang w:val="en-US"/>
        </w:rPr>
        <w:t xml:space="preserve">or </w:t>
      </w:r>
      <w:r w:rsidR="00262B51">
        <w:rPr>
          <w:rFonts w:asciiTheme="majorHAnsi" w:eastAsia="Times New Roman" w:hAnsiTheme="majorHAnsi" w:cstheme="majorHAnsi"/>
          <w:lang w:val="en-US"/>
        </w:rPr>
        <w:t>alter</w:t>
      </w:r>
      <w:r>
        <w:rPr>
          <w:rFonts w:asciiTheme="majorHAnsi" w:eastAsia="Times New Roman" w:hAnsiTheme="majorHAnsi" w:cstheme="majorHAnsi"/>
          <w:lang w:val="en-US"/>
        </w:rPr>
        <w:t xml:space="preserve"> the format to make the explanations easier to visually connect to the ELOs.  Since the course needs to address the </w:t>
      </w:r>
      <w:r w:rsidR="00293F5C">
        <w:rPr>
          <w:rFonts w:asciiTheme="majorHAnsi" w:eastAsia="Times New Roman" w:hAnsiTheme="majorHAnsi" w:cstheme="majorHAnsi"/>
          <w:lang w:val="en-US"/>
        </w:rPr>
        <w:t>g</w:t>
      </w:r>
      <w:r>
        <w:rPr>
          <w:rFonts w:asciiTheme="majorHAnsi" w:eastAsia="Times New Roman" w:hAnsiTheme="majorHAnsi" w:cstheme="majorHAnsi"/>
          <w:lang w:val="en-US"/>
        </w:rPr>
        <w:t xml:space="preserve">oals and ELOs for </w:t>
      </w:r>
      <w:r w:rsidR="00293F5C">
        <w:rPr>
          <w:rFonts w:asciiTheme="majorHAnsi" w:eastAsia="Times New Roman" w:hAnsiTheme="majorHAnsi" w:cstheme="majorHAnsi"/>
          <w:lang w:val="en-US"/>
        </w:rPr>
        <w:t>four</w:t>
      </w:r>
      <w:r>
        <w:rPr>
          <w:rFonts w:asciiTheme="majorHAnsi" w:eastAsia="Times New Roman" w:hAnsiTheme="majorHAnsi" w:cstheme="majorHAnsi"/>
          <w:lang w:val="en-US"/>
        </w:rPr>
        <w:t xml:space="preserve"> different categories</w:t>
      </w:r>
      <w:r w:rsidR="00293F5C">
        <w:rPr>
          <w:rFonts w:asciiTheme="majorHAnsi" w:eastAsia="Times New Roman" w:hAnsiTheme="majorHAnsi" w:cstheme="majorHAnsi"/>
          <w:lang w:val="en-US"/>
        </w:rPr>
        <w:t xml:space="preserve"> (see item 6 above)</w:t>
      </w:r>
      <w:r>
        <w:rPr>
          <w:rFonts w:asciiTheme="majorHAnsi" w:eastAsia="Times New Roman" w:hAnsiTheme="majorHAnsi" w:cstheme="majorHAnsi"/>
          <w:lang w:val="en-US"/>
        </w:rPr>
        <w:t xml:space="preserve">, they would like to remind the department that a single paragraph that summarizes how the course meets all the GE Goals and ELOs </w:t>
      </w:r>
      <w:proofErr w:type="gramStart"/>
      <w:r>
        <w:rPr>
          <w:rFonts w:asciiTheme="majorHAnsi" w:eastAsia="Times New Roman" w:hAnsiTheme="majorHAnsi" w:cstheme="majorHAnsi"/>
          <w:lang w:val="en-US"/>
        </w:rPr>
        <w:t>in a given</w:t>
      </w:r>
      <w:proofErr w:type="gramEnd"/>
      <w:r>
        <w:rPr>
          <w:rFonts w:asciiTheme="majorHAnsi" w:eastAsia="Times New Roman" w:hAnsiTheme="majorHAnsi" w:cstheme="majorHAnsi"/>
          <w:lang w:val="en-US"/>
        </w:rPr>
        <w:t xml:space="preserve"> </w:t>
      </w:r>
      <w:r w:rsidR="00262B51">
        <w:rPr>
          <w:rFonts w:asciiTheme="majorHAnsi" w:eastAsia="Times New Roman" w:hAnsiTheme="majorHAnsi" w:cstheme="majorHAnsi"/>
          <w:lang w:val="en-US"/>
        </w:rPr>
        <w:t xml:space="preserve">GE </w:t>
      </w:r>
      <w:r>
        <w:rPr>
          <w:rFonts w:asciiTheme="majorHAnsi" w:eastAsia="Times New Roman" w:hAnsiTheme="majorHAnsi" w:cstheme="majorHAnsi"/>
          <w:lang w:val="en-US"/>
        </w:rPr>
        <w:t>category is also an acceptable format.</w:t>
      </w:r>
    </w:p>
    <w:p w14:paraId="4DCA70C3" w14:textId="77777777" w:rsidR="009015E9" w:rsidRPr="007F0256" w:rsidRDefault="009015E9" w:rsidP="009015E9">
      <w:pPr>
        <w:spacing w:line="240" w:lineRule="auto"/>
        <w:ind w:left="1440"/>
        <w:rPr>
          <w:rFonts w:asciiTheme="majorHAnsi" w:eastAsia="Times New Roman" w:hAnsiTheme="majorHAnsi" w:cstheme="majorHAnsi"/>
          <w:lang w:val="en-US"/>
        </w:rPr>
      </w:pPr>
    </w:p>
    <w:p w14:paraId="0E3C4AFA" w14:textId="3E499E7B" w:rsidR="00DD254F" w:rsidRDefault="001B21D9" w:rsidP="00DD254F">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requests that the department remove the reference to the GEC (syllabus pg. 1)</w:t>
      </w:r>
      <w:r w:rsidR="00262B51">
        <w:rPr>
          <w:rFonts w:asciiTheme="majorHAnsi" w:eastAsia="Times New Roman" w:hAnsiTheme="majorHAnsi" w:cstheme="majorHAnsi"/>
          <w:lang w:val="en-US"/>
        </w:rPr>
        <w:t>, as this acronym refers to the general education system used prior to semester conversion in 2012.</w:t>
      </w:r>
    </w:p>
    <w:p w14:paraId="54413987" w14:textId="77777777" w:rsidR="009015E9" w:rsidRDefault="009015E9" w:rsidP="009015E9">
      <w:pPr>
        <w:spacing w:line="240" w:lineRule="auto"/>
        <w:rPr>
          <w:rFonts w:asciiTheme="majorHAnsi" w:eastAsia="Times New Roman" w:hAnsiTheme="majorHAnsi" w:cstheme="majorHAnsi"/>
          <w:lang w:val="en-US"/>
        </w:rPr>
      </w:pPr>
    </w:p>
    <w:p w14:paraId="74B51DA4" w14:textId="391F919B" w:rsidR="000077C6" w:rsidRPr="009015E9" w:rsidRDefault="000077C6" w:rsidP="000077C6">
      <w:pPr>
        <w:numPr>
          <w:ilvl w:val="1"/>
          <w:numId w:val="39"/>
        </w:numPr>
        <w:spacing w:line="240" w:lineRule="auto"/>
        <w:rPr>
          <w:rFonts w:asciiTheme="majorHAnsi" w:eastAsia="Times New Roman" w:hAnsiTheme="majorHAnsi" w:cstheme="majorHAnsi"/>
          <w:lang w:val="en-US"/>
        </w:rPr>
      </w:pPr>
      <w:r w:rsidRPr="000077C6">
        <w:rPr>
          <w:rFonts w:asciiTheme="majorHAnsi" w:eastAsia="Times New Roman" w:hAnsiTheme="majorHAnsi" w:cstheme="majorHAnsi"/>
          <w:color w:val="000000"/>
          <w:lang w:val="en-US"/>
        </w:rPr>
        <w:t>The Panel recommends that all courses seeking approval in the GE</w:t>
      </w:r>
      <w:r>
        <w:rPr>
          <w:rFonts w:asciiTheme="majorHAnsi" w:eastAsia="Times New Roman" w:hAnsiTheme="majorHAnsi" w:cstheme="majorHAnsi"/>
          <w:color w:val="000000"/>
          <w:lang w:val="en-US"/>
        </w:rPr>
        <w:t>N</w:t>
      </w:r>
      <w:r w:rsidRPr="000077C6">
        <w:rPr>
          <w:rFonts w:asciiTheme="majorHAnsi" w:eastAsia="Times New Roman" w:hAnsiTheme="majorHAnsi" w:cstheme="majorHAnsi"/>
          <w:color w:val="000000"/>
          <w:lang w:val="en-US"/>
        </w:rPr>
        <w:t xml:space="preserve"> Foundations: REGD category include a Land Acknowledgement.  A sample Land Acknowledgement, information about the purpose of such a statement, and further action steps can be found here: </w:t>
      </w:r>
      <w:hyperlink r:id="rId11" w:history="1">
        <w:r w:rsidRPr="000077C6">
          <w:rPr>
            <w:rStyle w:val="Hyperlink"/>
            <w:rFonts w:asciiTheme="majorHAnsi" w:eastAsia="Times New Roman" w:hAnsiTheme="majorHAnsi" w:cstheme="majorHAnsi"/>
            <w:lang w:val="en-US"/>
          </w:rPr>
          <w:t>https://mcc.osu.edu/about-us/land-acknowledgement</w:t>
        </w:r>
      </w:hyperlink>
      <w:r>
        <w:t>.</w:t>
      </w:r>
    </w:p>
    <w:p w14:paraId="0EA717D4" w14:textId="77777777" w:rsidR="009015E9" w:rsidRPr="000077C6" w:rsidRDefault="009015E9" w:rsidP="009015E9">
      <w:pPr>
        <w:spacing w:line="240" w:lineRule="auto"/>
        <w:ind w:left="1080"/>
        <w:rPr>
          <w:rFonts w:asciiTheme="majorHAnsi" w:eastAsia="Times New Roman" w:hAnsiTheme="majorHAnsi" w:cstheme="majorHAnsi"/>
          <w:lang w:val="en-US"/>
        </w:rPr>
      </w:pPr>
    </w:p>
    <w:p w14:paraId="6DECAA77" w14:textId="0B21BB15" w:rsidR="000077C6" w:rsidRDefault="000077C6" w:rsidP="000077C6">
      <w:pPr>
        <w:pStyle w:val="ListParagraph"/>
        <w:numPr>
          <w:ilvl w:val="1"/>
          <w:numId w:val="39"/>
        </w:numPr>
        <w:rPr>
          <w:rFonts w:asciiTheme="majorHAnsi" w:eastAsia="Times New Roman" w:hAnsiTheme="majorHAnsi" w:cstheme="majorHAnsi"/>
          <w:lang w:val="en-US"/>
        </w:rPr>
      </w:pPr>
      <w:r w:rsidRPr="009500D7">
        <w:rPr>
          <w:rFonts w:asciiTheme="majorHAnsi" w:eastAsia="Times New Roman" w:hAnsiTheme="majorHAnsi" w:cstheme="majorHAnsi"/>
          <w:lang w:val="en-US"/>
        </w:rPr>
        <w:t>The Panel recommends that the department use the most up-to-date version of the Student Life Disabilities Services statement (syllabus pg. 1</w:t>
      </w:r>
      <w:r>
        <w:rPr>
          <w:rFonts w:asciiTheme="majorHAnsi" w:eastAsia="Times New Roman" w:hAnsiTheme="majorHAnsi" w:cstheme="majorHAnsi"/>
          <w:lang w:val="en-US"/>
        </w:rPr>
        <w:t xml:space="preserve">2 </w:t>
      </w:r>
      <w:r w:rsidRPr="009500D7">
        <w:rPr>
          <w:rFonts w:asciiTheme="majorHAnsi" w:eastAsia="Times New Roman" w:hAnsiTheme="majorHAnsi" w:cstheme="majorHAnsi"/>
          <w:lang w:val="en-US"/>
        </w:rPr>
        <w:t>under “</w:t>
      </w:r>
      <w:r>
        <w:rPr>
          <w:rFonts w:asciiTheme="majorHAnsi" w:eastAsia="Times New Roman" w:hAnsiTheme="majorHAnsi" w:cstheme="majorHAnsi"/>
          <w:lang w:val="en-US"/>
        </w:rPr>
        <w:t>Disability Services</w:t>
      </w:r>
      <w:r w:rsidRPr="009500D7">
        <w:rPr>
          <w:rFonts w:asciiTheme="majorHAnsi" w:eastAsia="Times New Roman" w:hAnsiTheme="majorHAnsi" w:cstheme="majorHAnsi"/>
          <w:lang w:val="en-US"/>
        </w:rPr>
        <w:t xml:space="preserve">”).  An up-to-date statement can be found here: </w:t>
      </w:r>
      <w:hyperlink r:id="rId12" w:history="1">
        <w:r w:rsidRPr="005012FE">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lang w:val="en-US"/>
        </w:rPr>
        <w:t>.</w:t>
      </w:r>
    </w:p>
    <w:p w14:paraId="1BC1A93F" w14:textId="77777777" w:rsidR="009015E9" w:rsidRPr="009015E9" w:rsidRDefault="009015E9" w:rsidP="009015E9">
      <w:pPr>
        <w:rPr>
          <w:rFonts w:asciiTheme="majorHAnsi" w:eastAsia="Times New Roman" w:hAnsiTheme="majorHAnsi" w:cstheme="majorHAnsi"/>
          <w:lang w:val="en-US"/>
        </w:rPr>
      </w:pPr>
    </w:p>
    <w:p w14:paraId="75096152" w14:textId="2812CAF4" w:rsidR="000077C6" w:rsidRDefault="000077C6" w:rsidP="000077C6">
      <w:pPr>
        <w:pStyle w:val="ListParagraph"/>
        <w:numPr>
          <w:ilvl w:val="1"/>
          <w:numId w:val="39"/>
        </w:numPr>
        <w:rPr>
          <w:rFonts w:asciiTheme="majorHAnsi" w:eastAsia="Times New Roman" w:hAnsiTheme="majorHAnsi" w:cstheme="majorHAnsi"/>
          <w:lang w:val="en-US"/>
        </w:rPr>
      </w:pPr>
      <w:r w:rsidRPr="00B011B3">
        <w:rPr>
          <w:rFonts w:asciiTheme="majorHAnsi" w:eastAsia="Times New Roman" w:hAnsiTheme="majorHAnsi" w:cstheme="majorHAnsi"/>
          <w:lang w:val="en-US"/>
        </w:rPr>
        <w:t xml:space="preserve">The Panel recommends that the department use the most up-to-date version of the Mental Health statement (syllabus pg. </w:t>
      </w:r>
      <w:r>
        <w:rPr>
          <w:rFonts w:asciiTheme="majorHAnsi" w:eastAsia="Times New Roman" w:hAnsiTheme="majorHAnsi" w:cstheme="majorHAnsi"/>
          <w:lang w:val="en-US"/>
        </w:rPr>
        <w:t xml:space="preserve">12-13 </w:t>
      </w:r>
      <w:r w:rsidRPr="00B011B3">
        <w:rPr>
          <w:rFonts w:asciiTheme="majorHAnsi" w:eastAsia="Times New Roman" w:hAnsiTheme="majorHAnsi" w:cstheme="majorHAnsi"/>
          <w:lang w:val="en-US"/>
        </w:rPr>
        <w:t>under “</w:t>
      </w:r>
      <w:r>
        <w:rPr>
          <w:rFonts w:asciiTheme="majorHAnsi" w:eastAsia="Times New Roman" w:hAnsiTheme="majorHAnsi" w:cstheme="majorHAnsi"/>
          <w:lang w:val="en-US"/>
        </w:rPr>
        <w:t>Mental Health</w:t>
      </w:r>
      <w:r w:rsidRPr="00B011B3">
        <w:rPr>
          <w:rFonts w:asciiTheme="majorHAnsi" w:eastAsia="Times New Roman" w:hAnsiTheme="majorHAnsi" w:cstheme="majorHAnsi"/>
          <w:lang w:val="en-US"/>
        </w:rPr>
        <w:t xml:space="preserve">”), as the phone number and name of the suicide prevention hotline have changed.  An up-to-date statement can be found here: </w:t>
      </w:r>
      <w:hyperlink r:id="rId13" w:history="1">
        <w:r w:rsidRPr="005012FE">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lang w:val="en-US"/>
        </w:rPr>
        <w:t>.</w:t>
      </w:r>
    </w:p>
    <w:p w14:paraId="1D280CA6" w14:textId="77777777" w:rsidR="009015E9" w:rsidRPr="009015E9" w:rsidRDefault="009015E9" w:rsidP="009015E9">
      <w:pPr>
        <w:rPr>
          <w:rFonts w:asciiTheme="majorHAnsi" w:eastAsia="Times New Roman" w:hAnsiTheme="majorHAnsi" w:cstheme="majorHAnsi"/>
          <w:lang w:val="en-US"/>
        </w:rPr>
      </w:pPr>
    </w:p>
    <w:p w14:paraId="042854E4" w14:textId="13AA3724" w:rsidR="007F0256" w:rsidRPr="00D34C54" w:rsidRDefault="007F0256" w:rsidP="00DD254F">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No Vote</w:t>
      </w:r>
    </w:p>
    <w:p w14:paraId="70B5EC6F" w14:textId="77777777" w:rsidR="00DD254F" w:rsidRPr="00DD254F" w:rsidRDefault="00DD254F" w:rsidP="00DD254F">
      <w:pPr>
        <w:spacing w:line="240" w:lineRule="auto"/>
        <w:ind w:left="720"/>
        <w:rPr>
          <w:rFonts w:asciiTheme="majorHAnsi" w:eastAsia="Times New Roman" w:hAnsiTheme="majorHAnsi" w:cstheme="majorHAnsi"/>
          <w:lang w:val="en-US"/>
        </w:rPr>
      </w:pPr>
    </w:p>
    <w:p w14:paraId="29C47985" w14:textId="71F78B44" w:rsidR="00DD254F" w:rsidRDefault="00DD254F" w:rsidP="00DD254F">
      <w:pPr>
        <w:numPr>
          <w:ilvl w:val="0"/>
          <w:numId w:val="39"/>
        </w:numPr>
        <w:spacing w:line="240" w:lineRule="auto"/>
        <w:rPr>
          <w:rFonts w:asciiTheme="majorHAnsi" w:eastAsia="Times New Roman" w:hAnsiTheme="majorHAnsi" w:cstheme="majorHAnsi"/>
          <w:lang w:val="en-US"/>
        </w:rPr>
      </w:pPr>
      <w:r w:rsidRPr="00DD254F">
        <w:rPr>
          <w:rFonts w:asciiTheme="majorHAnsi" w:eastAsia="Times New Roman" w:hAnsiTheme="majorHAnsi" w:cstheme="majorHAnsi"/>
          <w:lang w:val="en-US"/>
        </w:rPr>
        <w:t>History of Art &amp; Jewish Studies 3205 (existing course with GEL VPA and GEN Foundation LVPA; requesting GEN Foundation REGD)</w:t>
      </w:r>
    </w:p>
    <w:p w14:paraId="40A693A8" w14:textId="77777777" w:rsidR="004B0AC8" w:rsidRDefault="004B0AC8" w:rsidP="004B0AC8">
      <w:pPr>
        <w:spacing w:line="240" w:lineRule="auto"/>
        <w:ind w:left="720"/>
        <w:rPr>
          <w:rFonts w:asciiTheme="majorHAnsi" w:eastAsia="Times New Roman" w:hAnsiTheme="majorHAnsi" w:cstheme="majorHAnsi"/>
          <w:lang w:val="en-US"/>
        </w:rPr>
      </w:pPr>
    </w:p>
    <w:p w14:paraId="565A9EEB" w14:textId="1E831A2B" w:rsidR="00CE6178" w:rsidRDefault="00117E19" w:rsidP="00CE6178">
      <w:pPr>
        <w:numPr>
          <w:ilvl w:val="1"/>
          <w:numId w:val="39"/>
        </w:numPr>
        <w:spacing w:line="240" w:lineRule="auto"/>
        <w:rPr>
          <w:rFonts w:asciiTheme="majorHAnsi" w:eastAsia="Times New Roman" w:hAnsiTheme="majorHAnsi" w:cstheme="majorHAnsi"/>
          <w:lang w:val="en-US"/>
        </w:rPr>
      </w:pPr>
      <w:r w:rsidRPr="00117E19">
        <w:rPr>
          <w:rFonts w:asciiTheme="majorHAnsi" w:eastAsia="Times New Roman" w:hAnsiTheme="majorHAnsi" w:cstheme="majorHAnsi"/>
          <w:b/>
          <w:bCs/>
          <w:lang w:val="en-US"/>
        </w:rPr>
        <w:t>Contingency</w:t>
      </w:r>
      <w:r>
        <w:rPr>
          <w:rFonts w:asciiTheme="majorHAnsi" w:eastAsia="Times New Roman" w:hAnsiTheme="majorHAnsi" w:cstheme="majorHAnsi"/>
          <w:lang w:val="en-US"/>
        </w:rPr>
        <w:t>:</w:t>
      </w:r>
      <w:r w:rsidR="00CE6178">
        <w:rPr>
          <w:rFonts w:asciiTheme="majorHAnsi" w:eastAsia="Times New Roman" w:hAnsiTheme="majorHAnsi" w:cstheme="majorHAnsi"/>
          <w:lang w:val="en-US"/>
        </w:rPr>
        <w:t xml:space="preserve"> </w:t>
      </w:r>
      <w:r w:rsidR="00A363BD">
        <w:rPr>
          <w:rFonts w:asciiTheme="majorHAnsi" w:eastAsia="Times New Roman" w:hAnsiTheme="majorHAnsi" w:cstheme="majorHAnsi"/>
          <w:lang w:val="en-US"/>
        </w:rPr>
        <w:t xml:space="preserve"> The Panel asks that the </w:t>
      </w:r>
      <w:r w:rsidR="0089495E">
        <w:rPr>
          <w:rFonts w:asciiTheme="majorHAnsi" w:eastAsia="Times New Roman" w:hAnsiTheme="majorHAnsi" w:cstheme="majorHAnsi"/>
          <w:lang w:val="en-US"/>
        </w:rPr>
        <w:t>department</w:t>
      </w:r>
      <w:r w:rsidR="00262B51">
        <w:rPr>
          <w:rFonts w:asciiTheme="majorHAnsi" w:eastAsia="Times New Roman" w:hAnsiTheme="majorHAnsi" w:cstheme="majorHAnsi"/>
          <w:lang w:val="en-US"/>
        </w:rPr>
        <w:t>s</w:t>
      </w:r>
      <w:r w:rsidR="0089495E">
        <w:rPr>
          <w:rFonts w:asciiTheme="majorHAnsi" w:eastAsia="Times New Roman" w:hAnsiTheme="majorHAnsi" w:cstheme="majorHAnsi"/>
          <w:lang w:val="en-US"/>
        </w:rPr>
        <w:t xml:space="preserve"> provide </w:t>
      </w:r>
      <w:r w:rsidR="00A363BD">
        <w:rPr>
          <w:rFonts w:asciiTheme="majorHAnsi" w:eastAsia="Times New Roman" w:hAnsiTheme="majorHAnsi" w:cstheme="majorHAnsi"/>
          <w:lang w:val="en-US"/>
        </w:rPr>
        <w:t xml:space="preserve">a foundational introduction to the intersectional study of race, </w:t>
      </w:r>
      <w:r w:rsidR="000C033C">
        <w:rPr>
          <w:rFonts w:asciiTheme="majorHAnsi" w:eastAsia="Times New Roman" w:hAnsiTheme="majorHAnsi" w:cstheme="majorHAnsi"/>
          <w:lang w:val="en-US"/>
        </w:rPr>
        <w:t>ethnicity,</w:t>
      </w:r>
      <w:r w:rsidR="00A363BD">
        <w:rPr>
          <w:rFonts w:asciiTheme="majorHAnsi" w:eastAsia="Times New Roman" w:hAnsiTheme="majorHAnsi" w:cstheme="majorHAnsi"/>
          <w:lang w:val="en-US"/>
        </w:rPr>
        <w:t xml:space="preserve"> and gender earlier in the course, </w:t>
      </w:r>
      <w:r w:rsidR="0089495E">
        <w:rPr>
          <w:rFonts w:asciiTheme="majorHAnsi" w:eastAsia="Times New Roman" w:hAnsiTheme="majorHAnsi" w:cstheme="majorHAnsi"/>
          <w:lang w:val="en-US"/>
        </w:rPr>
        <w:t xml:space="preserve">and explicitly demonstrate to the students (via the course calendar, course description, </w:t>
      </w:r>
      <w:r w:rsidR="008D4F11">
        <w:rPr>
          <w:rFonts w:asciiTheme="majorHAnsi" w:eastAsia="Times New Roman" w:hAnsiTheme="majorHAnsi" w:cstheme="majorHAnsi"/>
          <w:lang w:val="en-US"/>
        </w:rPr>
        <w:t xml:space="preserve">assignment descriptions, etc.) </w:t>
      </w:r>
      <w:r w:rsidR="0089495E">
        <w:rPr>
          <w:rFonts w:asciiTheme="majorHAnsi" w:eastAsia="Times New Roman" w:hAnsiTheme="majorHAnsi" w:cstheme="majorHAnsi"/>
          <w:lang w:val="en-US"/>
        </w:rPr>
        <w:t>how REGD issues will be centered throughout the course.</w:t>
      </w:r>
      <w:r w:rsidR="008D4F11">
        <w:rPr>
          <w:rFonts w:asciiTheme="majorHAnsi" w:eastAsia="Times New Roman" w:hAnsiTheme="majorHAnsi" w:cstheme="majorHAnsi"/>
          <w:lang w:val="en-US"/>
        </w:rPr>
        <w:t xml:space="preserve">  To this end, they note that the second paragraph of the first GE Form response provides some excellent material that could be integrated into the syllabus.</w:t>
      </w:r>
    </w:p>
    <w:p w14:paraId="07A3E034" w14:textId="77777777" w:rsidR="00117E19" w:rsidRDefault="00117E19" w:rsidP="00117E19">
      <w:pPr>
        <w:spacing w:line="240" w:lineRule="auto"/>
        <w:ind w:left="1080"/>
        <w:rPr>
          <w:rFonts w:asciiTheme="majorHAnsi" w:eastAsia="Times New Roman" w:hAnsiTheme="majorHAnsi" w:cstheme="majorHAnsi"/>
          <w:lang w:val="en-US"/>
        </w:rPr>
      </w:pPr>
    </w:p>
    <w:p w14:paraId="6678200A" w14:textId="20FF91AD" w:rsidR="00CE6178" w:rsidRDefault="00CE6178" w:rsidP="00CE6178">
      <w:pPr>
        <w:numPr>
          <w:ilvl w:val="1"/>
          <w:numId w:val="39"/>
        </w:numPr>
        <w:spacing w:line="240" w:lineRule="auto"/>
        <w:rPr>
          <w:rFonts w:asciiTheme="majorHAnsi" w:eastAsia="Times New Roman" w:hAnsiTheme="majorHAnsi" w:cstheme="majorHAnsi"/>
          <w:lang w:val="en-US"/>
        </w:rPr>
      </w:pPr>
      <w:r w:rsidRPr="00117E19">
        <w:rPr>
          <w:rFonts w:asciiTheme="majorHAnsi" w:eastAsia="Times New Roman" w:hAnsiTheme="majorHAnsi" w:cstheme="majorHAnsi"/>
          <w:b/>
          <w:bCs/>
          <w:lang w:val="en-US"/>
        </w:rPr>
        <w:t>C</w:t>
      </w:r>
      <w:r w:rsidR="00117E19" w:rsidRPr="00117E19">
        <w:rPr>
          <w:rFonts w:asciiTheme="majorHAnsi" w:eastAsia="Times New Roman" w:hAnsiTheme="majorHAnsi" w:cstheme="majorHAnsi"/>
          <w:b/>
          <w:bCs/>
          <w:lang w:val="en-US"/>
        </w:rPr>
        <w:t>ontingency</w:t>
      </w:r>
      <w:r>
        <w:rPr>
          <w:rFonts w:asciiTheme="majorHAnsi" w:eastAsia="Times New Roman" w:hAnsiTheme="majorHAnsi" w:cstheme="majorHAnsi"/>
          <w:lang w:val="en-US"/>
        </w:rPr>
        <w:t xml:space="preserve">: </w:t>
      </w:r>
      <w:r w:rsidR="008D4F11">
        <w:rPr>
          <w:rFonts w:asciiTheme="majorHAnsi" w:eastAsia="Times New Roman" w:hAnsiTheme="majorHAnsi" w:cstheme="majorHAnsi"/>
          <w:lang w:val="en-US"/>
        </w:rPr>
        <w:t xml:space="preserve">The Panel requests that the departments more clearly define the REGD focus of the course assignments, especially the </w:t>
      </w:r>
      <w:r w:rsidR="000C033C">
        <w:rPr>
          <w:rFonts w:asciiTheme="majorHAnsi" w:eastAsia="Times New Roman" w:hAnsiTheme="majorHAnsi" w:cstheme="majorHAnsi"/>
          <w:lang w:val="en-US"/>
        </w:rPr>
        <w:t xml:space="preserve">final presentation.  They note that the </w:t>
      </w:r>
      <w:r w:rsidR="000C033C">
        <w:rPr>
          <w:rFonts w:asciiTheme="majorHAnsi" w:eastAsia="Times New Roman" w:hAnsiTheme="majorHAnsi" w:cstheme="majorHAnsi"/>
          <w:lang w:val="en-US"/>
        </w:rPr>
        <w:lastRenderedPageBreak/>
        <w:t>final project constitutes one the largest portions of the course evaluation (syllabus pg. 8), but it does not appear to require that students demonstrate any knowledge of the role</w:t>
      </w:r>
      <w:r w:rsidR="00262B51">
        <w:rPr>
          <w:rFonts w:asciiTheme="majorHAnsi" w:eastAsia="Times New Roman" w:hAnsiTheme="majorHAnsi" w:cstheme="majorHAnsi"/>
          <w:lang w:val="en-US"/>
        </w:rPr>
        <w:t>(s)</w:t>
      </w:r>
      <w:r w:rsidR="000C033C">
        <w:rPr>
          <w:rFonts w:asciiTheme="majorHAnsi" w:eastAsia="Times New Roman" w:hAnsiTheme="majorHAnsi" w:cstheme="majorHAnsi"/>
          <w:lang w:val="en-US"/>
        </w:rPr>
        <w:t xml:space="preserve"> </w:t>
      </w:r>
      <w:r w:rsidR="00262B51">
        <w:rPr>
          <w:rFonts w:asciiTheme="majorHAnsi" w:eastAsia="Times New Roman" w:hAnsiTheme="majorHAnsi" w:cstheme="majorHAnsi"/>
          <w:lang w:val="en-US"/>
        </w:rPr>
        <w:t>that</w:t>
      </w:r>
      <w:r w:rsidR="000C033C">
        <w:rPr>
          <w:rFonts w:asciiTheme="majorHAnsi" w:eastAsia="Times New Roman" w:hAnsiTheme="majorHAnsi" w:cstheme="majorHAnsi"/>
          <w:lang w:val="en-US"/>
        </w:rPr>
        <w:t xml:space="preserve"> race, ethnicity, and/or gender</w:t>
      </w:r>
      <w:r w:rsidR="00262B51">
        <w:rPr>
          <w:rFonts w:asciiTheme="majorHAnsi" w:eastAsia="Times New Roman" w:hAnsiTheme="majorHAnsi" w:cstheme="majorHAnsi"/>
          <w:lang w:val="en-US"/>
        </w:rPr>
        <w:t xml:space="preserve"> play</w:t>
      </w:r>
      <w:r w:rsidR="000C033C">
        <w:rPr>
          <w:rFonts w:asciiTheme="majorHAnsi" w:eastAsia="Times New Roman" w:hAnsiTheme="majorHAnsi" w:cstheme="majorHAnsi"/>
          <w:lang w:val="en-US"/>
        </w:rPr>
        <w:t xml:space="preserve"> in the history or creation of Jewish art objects,  the work of Jewish artists, or the creation of their own work.</w:t>
      </w:r>
    </w:p>
    <w:p w14:paraId="1F3D1AD4" w14:textId="77777777" w:rsidR="00117E19" w:rsidRDefault="00117E19" w:rsidP="00117E19">
      <w:pPr>
        <w:spacing w:line="240" w:lineRule="auto"/>
        <w:ind w:left="1440"/>
        <w:rPr>
          <w:rFonts w:asciiTheme="majorHAnsi" w:eastAsia="Times New Roman" w:hAnsiTheme="majorHAnsi" w:cstheme="majorHAnsi"/>
          <w:lang w:val="en-US"/>
        </w:rPr>
      </w:pPr>
    </w:p>
    <w:p w14:paraId="7C78A983" w14:textId="3FA76E05" w:rsidR="00DF49FB" w:rsidRPr="00262B51" w:rsidRDefault="000C033C" w:rsidP="00262B51">
      <w:pPr>
        <w:numPr>
          <w:ilvl w:val="1"/>
          <w:numId w:val="39"/>
        </w:numPr>
        <w:spacing w:line="240" w:lineRule="auto"/>
        <w:rPr>
          <w:rFonts w:asciiTheme="majorHAnsi" w:eastAsia="Times New Roman" w:hAnsiTheme="majorHAnsi" w:cstheme="majorHAnsi"/>
          <w:lang w:val="en-US"/>
        </w:rPr>
      </w:pPr>
      <w:r w:rsidRPr="00117E19">
        <w:rPr>
          <w:rFonts w:asciiTheme="majorHAnsi" w:eastAsia="Times New Roman" w:hAnsiTheme="majorHAnsi" w:cstheme="majorHAnsi"/>
          <w:b/>
          <w:bCs/>
          <w:lang w:val="en-US"/>
        </w:rPr>
        <w:t>Contingency</w:t>
      </w:r>
      <w:r>
        <w:rPr>
          <w:rFonts w:asciiTheme="majorHAnsi" w:eastAsia="Times New Roman" w:hAnsiTheme="majorHAnsi" w:cstheme="majorHAnsi"/>
          <w:lang w:val="en-US"/>
        </w:rPr>
        <w:t>: The Panel asks that the departments correct the name of the GEN Foundations categor</w:t>
      </w:r>
      <w:r w:rsidR="00117E19">
        <w:rPr>
          <w:rFonts w:asciiTheme="majorHAnsi" w:eastAsia="Times New Roman" w:hAnsiTheme="majorHAnsi" w:cstheme="majorHAnsi"/>
          <w:lang w:val="en-US"/>
        </w:rPr>
        <w:t xml:space="preserve">y on pg. </w:t>
      </w:r>
      <w:r w:rsidR="00262B51">
        <w:rPr>
          <w:rFonts w:asciiTheme="majorHAnsi" w:eastAsia="Times New Roman" w:hAnsiTheme="majorHAnsi" w:cstheme="majorHAnsi"/>
          <w:lang w:val="en-US"/>
        </w:rPr>
        <w:t>2</w:t>
      </w:r>
      <w:r w:rsidR="00117E19">
        <w:rPr>
          <w:rFonts w:asciiTheme="majorHAnsi" w:eastAsia="Times New Roman" w:hAnsiTheme="majorHAnsi" w:cstheme="majorHAnsi"/>
          <w:lang w:val="en-US"/>
        </w:rPr>
        <w:t xml:space="preserve"> of the syllabus to read “Race, Ethnicity and Gender Diversity”.  (Please note that this error occurs twice on pg. 2.)  They also ask that the department amend the sentence on pg. </w:t>
      </w:r>
      <w:r w:rsidR="00262B51">
        <w:rPr>
          <w:rFonts w:asciiTheme="majorHAnsi" w:eastAsia="Times New Roman" w:hAnsiTheme="majorHAnsi" w:cstheme="majorHAnsi"/>
          <w:lang w:val="en-US"/>
        </w:rPr>
        <w:t>2</w:t>
      </w:r>
      <w:r w:rsidR="00117E19">
        <w:rPr>
          <w:rFonts w:asciiTheme="majorHAnsi" w:eastAsia="Times New Roman" w:hAnsiTheme="majorHAnsi" w:cstheme="majorHAnsi"/>
          <w:lang w:val="en-US"/>
        </w:rPr>
        <w:t xml:space="preserve"> of the syllabus that reads “This course fulfills a GE requirement in the category of Race, Ethnicity, Gender, and Diversity.” to “This course meets the requirements for the</w:t>
      </w:r>
      <w:r w:rsidR="00DF49FB">
        <w:rPr>
          <w:rFonts w:asciiTheme="majorHAnsi" w:eastAsia="Times New Roman" w:hAnsiTheme="majorHAnsi" w:cstheme="majorHAnsi"/>
          <w:lang w:val="en-US"/>
        </w:rPr>
        <w:t xml:space="preserve"> </w:t>
      </w:r>
      <w:r w:rsidR="00117E19">
        <w:rPr>
          <w:rFonts w:asciiTheme="majorHAnsi" w:eastAsia="Times New Roman" w:hAnsiTheme="majorHAnsi" w:cstheme="majorHAnsi"/>
          <w:lang w:val="en-US"/>
        </w:rPr>
        <w:t xml:space="preserve">Race, Ethnicity and Gender Diversity and </w:t>
      </w:r>
      <w:r w:rsidR="00DF49FB">
        <w:rPr>
          <w:rFonts w:asciiTheme="majorHAnsi" w:eastAsia="Times New Roman" w:hAnsiTheme="majorHAnsi" w:cstheme="majorHAnsi"/>
          <w:lang w:val="en-US"/>
        </w:rPr>
        <w:t xml:space="preserve">the </w:t>
      </w:r>
      <w:r w:rsidR="00117E19">
        <w:rPr>
          <w:rFonts w:asciiTheme="majorHAnsi" w:eastAsia="Times New Roman" w:hAnsiTheme="majorHAnsi" w:cstheme="majorHAnsi"/>
          <w:lang w:val="en-US"/>
        </w:rPr>
        <w:t>Literary, Visual and Performing Arts GEN Foundations categories</w:t>
      </w:r>
      <w:r w:rsidR="00DF49FB">
        <w:rPr>
          <w:rFonts w:asciiTheme="majorHAnsi" w:eastAsia="Times New Roman" w:hAnsiTheme="majorHAnsi" w:cstheme="majorHAnsi"/>
          <w:lang w:val="en-US"/>
        </w:rPr>
        <w:t>.</w:t>
      </w:r>
      <w:r w:rsidR="00117E19">
        <w:rPr>
          <w:rFonts w:asciiTheme="majorHAnsi" w:eastAsia="Times New Roman" w:hAnsiTheme="majorHAnsi" w:cstheme="majorHAnsi"/>
          <w:lang w:val="en-US"/>
        </w:rPr>
        <w:t>”</w:t>
      </w:r>
      <w:r w:rsidR="00DF49FB">
        <w:rPr>
          <w:rFonts w:asciiTheme="majorHAnsi" w:eastAsia="Times New Roman" w:hAnsiTheme="majorHAnsi" w:cstheme="majorHAnsi"/>
          <w:lang w:val="en-US"/>
        </w:rPr>
        <w:t xml:space="preserve"> or similar.</w:t>
      </w:r>
      <w:r w:rsidR="00117E19">
        <w:rPr>
          <w:rFonts w:asciiTheme="majorHAnsi" w:eastAsia="Times New Roman" w:hAnsiTheme="majorHAnsi" w:cstheme="majorHAnsi"/>
          <w:lang w:val="en-US"/>
        </w:rPr>
        <w:t xml:space="preserve">  </w:t>
      </w:r>
    </w:p>
    <w:p w14:paraId="411FCFEE" w14:textId="77777777" w:rsidR="00DF49FB" w:rsidRDefault="00DF49FB" w:rsidP="00DF49FB">
      <w:pPr>
        <w:spacing w:line="240" w:lineRule="auto"/>
        <w:rPr>
          <w:rFonts w:asciiTheme="majorHAnsi" w:eastAsia="Times New Roman" w:hAnsiTheme="majorHAnsi" w:cstheme="majorHAnsi"/>
          <w:lang w:val="en-US"/>
        </w:rPr>
      </w:pPr>
    </w:p>
    <w:p w14:paraId="55A3F311" w14:textId="15349D4C" w:rsidR="00D46AA9" w:rsidRDefault="00B1518A" w:rsidP="00DD254F">
      <w:pPr>
        <w:numPr>
          <w:ilvl w:val="1"/>
          <w:numId w:val="39"/>
        </w:numPr>
        <w:spacing w:line="240" w:lineRule="auto"/>
        <w:rPr>
          <w:rFonts w:asciiTheme="majorHAnsi" w:eastAsia="Times New Roman" w:hAnsiTheme="majorHAnsi" w:cstheme="majorHAnsi"/>
          <w:lang w:val="en-US"/>
        </w:rPr>
      </w:pPr>
      <w:r w:rsidRPr="00117E19">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117E19">
        <w:rPr>
          <w:rFonts w:asciiTheme="majorHAnsi" w:eastAsia="Times New Roman" w:hAnsiTheme="majorHAnsi" w:cstheme="majorHAnsi"/>
          <w:lang w:val="en-US"/>
        </w:rPr>
        <w:t>The Panel recommends that the department</w:t>
      </w:r>
      <w:r w:rsidR="00262B51">
        <w:rPr>
          <w:rFonts w:asciiTheme="majorHAnsi" w:eastAsia="Times New Roman" w:hAnsiTheme="majorHAnsi" w:cstheme="majorHAnsi"/>
          <w:lang w:val="en-US"/>
        </w:rPr>
        <w:t>s</w:t>
      </w:r>
      <w:r w:rsidR="00117E19">
        <w:rPr>
          <w:rFonts w:asciiTheme="majorHAnsi" w:eastAsia="Times New Roman" w:hAnsiTheme="majorHAnsi" w:cstheme="majorHAnsi"/>
          <w:lang w:val="en-US"/>
        </w:rPr>
        <w:t xml:space="preserve"> </w:t>
      </w:r>
      <w:r w:rsidR="00E034AB">
        <w:rPr>
          <w:rFonts w:asciiTheme="majorHAnsi" w:eastAsia="Times New Roman" w:hAnsiTheme="majorHAnsi" w:cstheme="majorHAnsi"/>
          <w:lang w:val="en-US"/>
        </w:rPr>
        <w:t>rephrase the consequences of not complying with the course’s guidelines for “good citizenship”, (s</w:t>
      </w:r>
      <w:r w:rsidR="00D46AA9" w:rsidRPr="00CE6178">
        <w:rPr>
          <w:rFonts w:asciiTheme="majorHAnsi" w:eastAsia="Times New Roman" w:hAnsiTheme="majorHAnsi" w:cstheme="majorHAnsi"/>
          <w:lang w:val="en-US"/>
        </w:rPr>
        <w:t>yllabus pg. 6, point #4</w:t>
      </w:r>
      <w:r w:rsidR="00E034AB">
        <w:rPr>
          <w:rFonts w:asciiTheme="majorHAnsi" w:eastAsia="Times New Roman" w:hAnsiTheme="majorHAnsi" w:cstheme="majorHAnsi"/>
          <w:lang w:val="en-US"/>
        </w:rPr>
        <w:t xml:space="preserve">) as </w:t>
      </w:r>
      <w:r w:rsidR="00D46AA9" w:rsidRPr="00CE6178">
        <w:rPr>
          <w:rFonts w:asciiTheme="majorHAnsi" w:eastAsia="Times New Roman" w:hAnsiTheme="majorHAnsi" w:cstheme="majorHAnsi"/>
          <w:lang w:val="en-US"/>
        </w:rPr>
        <w:t xml:space="preserve">instructors </w:t>
      </w:r>
      <w:r w:rsidR="00E034AB">
        <w:rPr>
          <w:rFonts w:asciiTheme="majorHAnsi" w:eastAsia="Times New Roman" w:hAnsiTheme="majorHAnsi" w:cstheme="majorHAnsi"/>
          <w:lang w:val="en-US"/>
        </w:rPr>
        <w:t xml:space="preserve">are not able </w:t>
      </w:r>
      <w:r w:rsidR="00D46AA9" w:rsidRPr="00CE6178">
        <w:rPr>
          <w:rFonts w:asciiTheme="majorHAnsi" w:eastAsia="Times New Roman" w:hAnsiTheme="majorHAnsi" w:cstheme="majorHAnsi"/>
          <w:lang w:val="en-US"/>
        </w:rPr>
        <w:t>disenroll students</w:t>
      </w:r>
      <w:r w:rsidR="00E034AB">
        <w:rPr>
          <w:rFonts w:asciiTheme="majorHAnsi" w:eastAsia="Times New Roman" w:hAnsiTheme="majorHAnsi" w:cstheme="majorHAnsi"/>
          <w:lang w:val="en-US"/>
        </w:rPr>
        <w:t xml:space="preserve"> from courses</w:t>
      </w:r>
      <w:r w:rsidR="00D46AA9" w:rsidRPr="00CE6178">
        <w:rPr>
          <w:rFonts w:asciiTheme="majorHAnsi" w:eastAsia="Times New Roman" w:hAnsiTheme="majorHAnsi" w:cstheme="majorHAnsi"/>
          <w:lang w:val="en-US"/>
        </w:rPr>
        <w:t>.</w:t>
      </w:r>
    </w:p>
    <w:p w14:paraId="56013FCC" w14:textId="77777777" w:rsidR="00E034AB" w:rsidRPr="00CE6178" w:rsidRDefault="00E034AB" w:rsidP="00E034AB">
      <w:pPr>
        <w:spacing w:line="240" w:lineRule="auto"/>
        <w:ind w:left="1440"/>
        <w:rPr>
          <w:rFonts w:asciiTheme="majorHAnsi" w:eastAsia="Times New Roman" w:hAnsiTheme="majorHAnsi" w:cstheme="majorHAnsi"/>
          <w:lang w:val="en-US"/>
        </w:rPr>
      </w:pPr>
    </w:p>
    <w:p w14:paraId="1108F93C" w14:textId="268FA7E2" w:rsidR="00117E19" w:rsidRDefault="00117E19" w:rsidP="00117E19">
      <w:pPr>
        <w:pStyle w:val="ListParagraph"/>
        <w:numPr>
          <w:ilvl w:val="1"/>
          <w:numId w:val="39"/>
        </w:numPr>
        <w:rPr>
          <w:rFonts w:asciiTheme="majorHAnsi" w:eastAsia="Times New Roman" w:hAnsiTheme="majorHAnsi" w:cstheme="majorHAnsi"/>
          <w:lang w:val="en-US"/>
        </w:rPr>
      </w:pPr>
      <w:r w:rsidRPr="00B011B3">
        <w:rPr>
          <w:rFonts w:asciiTheme="majorHAnsi" w:eastAsia="Times New Roman" w:hAnsiTheme="majorHAnsi" w:cstheme="majorHAnsi"/>
          <w:i/>
          <w:iCs/>
          <w:lang w:val="en-US"/>
        </w:rPr>
        <w:t>Recommendation</w:t>
      </w:r>
      <w:r w:rsidRPr="00B011B3">
        <w:rPr>
          <w:rFonts w:asciiTheme="majorHAnsi" w:eastAsia="Times New Roman" w:hAnsiTheme="majorHAnsi" w:cstheme="majorHAnsi"/>
          <w:lang w:val="en-US"/>
        </w:rPr>
        <w:t>: The Panel recommends that the department</w:t>
      </w:r>
      <w:r w:rsidR="00262B51">
        <w:rPr>
          <w:rFonts w:asciiTheme="majorHAnsi" w:eastAsia="Times New Roman" w:hAnsiTheme="majorHAnsi" w:cstheme="majorHAnsi"/>
          <w:lang w:val="en-US"/>
        </w:rPr>
        <w:t>s</w:t>
      </w:r>
      <w:r w:rsidRPr="00B011B3">
        <w:rPr>
          <w:rFonts w:asciiTheme="majorHAnsi" w:eastAsia="Times New Roman" w:hAnsiTheme="majorHAnsi" w:cstheme="majorHAnsi"/>
          <w:lang w:val="en-US"/>
        </w:rPr>
        <w:t xml:space="preserve"> use the most up-to-date version of the Mental Health statement (syllabus pg. </w:t>
      </w:r>
      <w:r>
        <w:rPr>
          <w:rFonts w:asciiTheme="majorHAnsi" w:eastAsia="Times New Roman" w:hAnsiTheme="majorHAnsi" w:cstheme="majorHAnsi"/>
          <w:lang w:val="en-US"/>
        </w:rPr>
        <w:t xml:space="preserve">11 </w:t>
      </w:r>
      <w:r w:rsidRPr="00B011B3">
        <w:rPr>
          <w:rFonts w:asciiTheme="majorHAnsi" w:eastAsia="Times New Roman" w:hAnsiTheme="majorHAnsi" w:cstheme="majorHAnsi"/>
          <w:lang w:val="en-US"/>
        </w:rPr>
        <w:t>under “</w:t>
      </w:r>
      <w:r>
        <w:rPr>
          <w:rFonts w:asciiTheme="majorHAnsi" w:eastAsia="Times New Roman" w:hAnsiTheme="majorHAnsi" w:cstheme="majorHAnsi"/>
          <w:lang w:val="en-US"/>
        </w:rPr>
        <w:t>Your Mental Health</w:t>
      </w:r>
      <w:r w:rsidRPr="00B011B3">
        <w:rPr>
          <w:rFonts w:asciiTheme="majorHAnsi" w:eastAsia="Times New Roman" w:hAnsiTheme="majorHAnsi" w:cstheme="majorHAnsi"/>
          <w:lang w:val="en-US"/>
        </w:rPr>
        <w:t xml:space="preserve">”), as the phone number and name of the suicide prevention hotline have changed.  An up-to-date statement can be found here: </w:t>
      </w:r>
      <w:hyperlink r:id="rId14" w:history="1">
        <w:r w:rsidRPr="005012FE">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lang w:val="en-US"/>
        </w:rPr>
        <w:t>.</w:t>
      </w:r>
    </w:p>
    <w:p w14:paraId="10652FFE" w14:textId="77777777" w:rsidR="00117E19" w:rsidRPr="00B011B3" w:rsidRDefault="00117E19" w:rsidP="00117E19">
      <w:pPr>
        <w:pStyle w:val="ListParagraph"/>
        <w:ind w:left="1440"/>
        <w:rPr>
          <w:rFonts w:asciiTheme="majorHAnsi" w:eastAsia="Times New Roman" w:hAnsiTheme="majorHAnsi" w:cstheme="majorHAnsi"/>
          <w:lang w:val="en-US"/>
        </w:rPr>
      </w:pPr>
    </w:p>
    <w:p w14:paraId="204E3D5A" w14:textId="70284EC8" w:rsidR="00117E19" w:rsidRDefault="00117E19" w:rsidP="00117E19">
      <w:pPr>
        <w:pStyle w:val="ListParagraph"/>
        <w:numPr>
          <w:ilvl w:val="1"/>
          <w:numId w:val="39"/>
        </w:numPr>
        <w:rPr>
          <w:rFonts w:asciiTheme="majorHAnsi" w:eastAsia="Times New Roman" w:hAnsiTheme="majorHAnsi" w:cstheme="majorHAnsi"/>
          <w:lang w:val="en-US"/>
        </w:rPr>
      </w:pPr>
      <w:r w:rsidRPr="009500D7">
        <w:rPr>
          <w:rFonts w:asciiTheme="majorHAnsi" w:eastAsia="Times New Roman" w:hAnsiTheme="majorHAnsi" w:cstheme="majorHAnsi"/>
          <w:i/>
          <w:iCs/>
          <w:lang w:val="en-US"/>
        </w:rPr>
        <w:t>Recommendation:</w:t>
      </w:r>
      <w:r w:rsidRPr="009500D7">
        <w:rPr>
          <w:rFonts w:asciiTheme="majorHAnsi" w:eastAsia="Times New Roman" w:hAnsiTheme="majorHAnsi" w:cstheme="majorHAnsi"/>
          <w:lang w:val="en-US"/>
        </w:rPr>
        <w:t xml:space="preserve"> The Panel recommends that the department</w:t>
      </w:r>
      <w:r w:rsidR="00262B51">
        <w:rPr>
          <w:rFonts w:asciiTheme="majorHAnsi" w:eastAsia="Times New Roman" w:hAnsiTheme="majorHAnsi" w:cstheme="majorHAnsi"/>
          <w:lang w:val="en-US"/>
        </w:rPr>
        <w:t>s</w:t>
      </w:r>
      <w:r w:rsidRPr="009500D7">
        <w:rPr>
          <w:rFonts w:asciiTheme="majorHAnsi" w:eastAsia="Times New Roman" w:hAnsiTheme="majorHAnsi" w:cstheme="majorHAnsi"/>
          <w:lang w:val="en-US"/>
        </w:rPr>
        <w:t xml:space="preserve"> use the most up-to-date version of the Student Life Disabilities Services statement (syllabus pg. 1</w:t>
      </w:r>
      <w:r>
        <w:rPr>
          <w:rFonts w:asciiTheme="majorHAnsi" w:eastAsia="Times New Roman" w:hAnsiTheme="majorHAnsi" w:cstheme="majorHAnsi"/>
          <w:lang w:val="en-US"/>
        </w:rPr>
        <w:t>1</w:t>
      </w:r>
      <w:r w:rsidRPr="009500D7">
        <w:rPr>
          <w:rFonts w:asciiTheme="majorHAnsi" w:eastAsia="Times New Roman" w:hAnsiTheme="majorHAnsi" w:cstheme="majorHAnsi"/>
          <w:lang w:val="en-US"/>
        </w:rPr>
        <w:t xml:space="preserve"> under “Accommodations for Students </w:t>
      </w:r>
      <w:proofErr w:type="gramStart"/>
      <w:r w:rsidRPr="009500D7">
        <w:rPr>
          <w:rFonts w:asciiTheme="majorHAnsi" w:eastAsia="Times New Roman" w:hAnsiTheme="majorHAnsi" w:cstheme="majorHAnsi"/>
          <w:lang w:val="en-US"/>
        </w:rPr>
        <w:t>With</w:t>
      </w:r>
      <w:proofErr w:type="gramEnd"/>
      <w:r w:rsidRPr="009500D7">
        <w:rPr>
          <w:rFonts w:asciiTheme="majorHAnsi" w:eastAsia="Times New Roman" w:hAnsiTheme="majorHAnsi" w:cstheme="majorHAnsi"/>
          <w:lang w:val="en-US"/>
        </w:rPr>
        <w:t xml:space="preserve"> Disabilities”).  An up-to-date statement can be found here: </w:t>
      </w:r>
      <w:hyperlink r:id="rId15" w:history="1">
        <w:r w:rsidRPr="005012FE">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lang w:val="en-US"/>
        </w:rPr>
        <w:t>.</w:t>
      </w:r>
    </w:p>
    <w:p w14:paraId="65601289" w14:textId="77777777" w:rsidR="00DF49FB" w:rsidRPr="00DF49FB" w:rsidRDefault="00DF49FB" w:rsidP="00DF49FB">
      <w:pPr>
        <w:pStyle w:val="ListParagraph"/>
        <w:rPr>
          <w:rFonts w:asciiTheme="majorHAnsi" w:eastAsia="Times New Roman" w:hAnsiTheme="majorHAnsi" w:cstheme="majorHAnsi"/>
          <w:lang w:val="en-US"/>
        </w:rPr>
      </w:pPr>
    </w:p>
    <w:p w14:paraId="30C7359A" w14:textId="15334F79" w:rsidR="00DF49FB" w:rsidRPr="00DF49FB" w:rsidRDefault="00DF49FB" w:rsidP="00DF49FB">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Comment: The Panel offers a friendly comment on the course’s pre-requisite, </w:t>
      </w:r>
      <w:r w:rsidRPr="00CE6178">
        <w:rPr>
          <w:rFonts w:asciiTheme="majorHAnsi" w:eastAsia="Times New Roman" w:hAnsiTheme="majorHAnsi" w:cstheme="majorHAnsi"/>
          <w:lang w:val="en-US"/>
        </w:rPr>
        <w:t xml:space="preserve">English 1110 (syllabus </w:t>
      </w:r>
      <w:r>
        <w:rPr>
          <w:rFonts w:asciiTheme="majorHAnsi" w:eastAsia="Times New Roman" w:hAnsiTheme="majorHAnsi" w:cstheme="majorHAnsi"/>
          <w:lang w:val="en-US"/>
        </w:rPr>
        <w:t xml:space="preserve">pg. 1 </w:t>
      </w:r>
      <w:r w:rsidRPr="00CE6178">
        <w:rPr>
          <w:rFonts w:asciiTheme="majorHAnsi" w:eastAsia="Times New Roman" w:hAnsiTheme="majorHAnsi" w:cstheme="majorHAnsi"/>
          <w:lang w:val="en-US"/>
        </w:rPr>
        <w:t>and Course Change Request</w:t>
      </w:r>
      <w:r>
        <w:rPr>
          <w:rFonts w:asciiTheme="majorHAnsi" w:eastAsia="Times New Roman" w:hAnsiTheme="majorHAnsi" w:cstheme="majorHAnsi"/>
          <w:lang w:val="en-US"/>
        </w:rPr>
        <w:t xml:space="preserve"> under “Prerequisites and Exclusions”</w:t>
      </w:r>
      <w:r w:rsidRPr="00CE6178">
        <w:rPr>
          <w:rFonts w:asciiTheme="majorHAnsi" w:eastAsia="Times New Roman" w:hAnsiTheme="majorHAnsi" w:cstheme="majorHAnsi"/>
          <w:lang w:val="en-US"/>
        </w:rPr>
        <w:t>)</w:t>
      </w:r>
      <w:r>
        <w:rPr>
          <w:rFonts w:asciiTheme="majorHAnsi" w:eastAsia="Times New Roman" w:hAnsiTheme="majorHAnsi" w:cstheme="majorHAnsi"/>
          <w:lang w:val="en-US"/>
        </w:rPr>
        <w:t>.  Under the new General Education plan, students will no longer be required to take English 1110 specifically; instead, students may choose from a variety of courses (including English 1110), that fulfill the GEN Foundations: Writing and Information Literacy requirement.  The Panel kindly notes that changing the pre-requisite from English 1110 to “</w:t>
      </w:r>
      <w:r w:rsidRPr="00DF49FB">
        <w:rPr>
          <w:rFonts w:asciiTheme="majorHAnsi" w:eastAsia="Times New Roman" w:hAnsiTheme="majorHAnsi" w:cstheme="majorHAnsi"/>
          <w:lang w:val="en-US"/>
        </w:rPr>
        <w:t>completion of GE Foundation Writing and Information Literacy course”</w:t>
      </w:r>
      <w:r>
        <w:rPr>
          <w:rFonts w:asciiTheme="majorHAnsi" w:eastAsia="Times New Roman" w:hAnsiTheme="majorHAnsi" w:cstheme="majorHAnsi"/>
          <w:lang w:val="en-US"/>
        </w:rPr>
        <w:t xml:space="preserve"> would make the course available to more students, though the department</w:t>
      </w:r>
      <w:r w:rsidR="00262B51">
        <w:rPr>
          <w:rFonts w:asciiTheme="majorHAnsi" w:eastAsia="Times New Roman" w:hAnsiTheme="majorHAnsi" w:cstheme="majorHAnsi"/>
          <w:lang w:val="en-US"/>
        </w:rPr>
        <w:t>s</w:t>
      </w:r>
      <w:r>
        <w:rPr>
          <w:rFonts w:asciiTheme="majorHAnsi" w:eastAsia="Times New Roman" w:hAnsiTheme="majorHAnsi" w:cstheme="majorHAnsi"/>
          <w:lang w:val="en-US"/>
        </w:rPr>
        <w:t xml:space="preserve"> </w:t>
      </w:r>
      <w:r w:rsidR="00262B51">
        <w:rPr>
          <w:rFonts w:asciiTheme="majorHAnsi" w:eastAsia="Times New Roman" w:hAnsiTheme="majorHAnsi" w:cstheme="majorHAnsi"/>
          <w:lang w:val="en-US"/>
        </w:rPr>
        <w:t>are</w:t>
      </w:r>
      <w:r>
        <w:rPr>
          <w:rFonts w:asciiTheme="majorHAnsi" w:eastAsia="Times New Roman" w:hAnsiTheme="majorHAnsi" w:cstheme="majorHAnsi"/>
          <w:lang w:val="en-US"/>
        </w:rPr>
        <w:t xml:space="preserve"> welcome to keep the current pre-requisite if they feel it is more appropriate.</w:t>
      </w:r>
    </w:p>
    <w:p w14:paraId="281EE787" w14:textId="77777777" w:rsidR="00117E19" w:rsidRPr="00117E19" w:rsidRDefault="00117E19" w:rsidP="00117E19">
      <w:pPr>
        <w:rPr>
          <w:rFonts w:asciiTheme="majorHAnsi" w:eastAsia="Times New Roman" w:hAnsiTheme="majorHAnsi" w:cstheme="majorHAnsi"/>
          <w:lang w:val="en-US"/>
        </w:rPr>
      </w:pPr>
    </w:p>
    <w:p w14:paraId="6F555A66" w14:textId="6A419B81" w:rsidR="00B1518A" w:rsidRPr="00CE6178" w:rsidRDefault="00B1518A" w:rsidP="004B0AC8">
      <w:pPr>
        <w:numPr>
          <w:ilvl w:val="1"/>
          <w:numId w:val="39"/>
        </w:numPr>
        <w:spacing w:before="240"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Abrams, Pradhan; unanimously approved with </w:t>
      </w:r>
      <w:r w:rsidR="004B0AC8">
        <w:rPr>
          <w:rFonts w:asciiTheme="majorHAnsi" w:eastAsia="Times New Roman" w:hAnsiTheme="majorHAnsi" w:cstheme="majorHAnsi"/>
          <w:b/>
          <w:bCs/>
          <w:lang w:val="en-US"/>
        </w:rPr>
        <w:t xml:space="preserve">3 contingencies </w:t>
      </w:r>
      <w:r w:rsidR="004B0AC8">
        <w:rPr>
          <w:rFonts w:asciiTheme="majorHAnsi" w:eastAsia="Times New Roman" w:hAnsiTheme="majorHAnsi" w:cstheme="majorHAnsi"/>
          <w:lang w:val="en-US"/>
        </w:rPr>
        <w:t xml:space="preserve">(in bold above), </w:t>
      </w:r>
      <w:r w:rsidR="004B0AC8">
        <w:rPr>
          <w:rFonts w:asciiTheme="majorHAnsi" w:eastAsia="Times New Roman" w:hAnsiTheme="majorHAnsi" w:cstheme="majorHAnsi"/>
          <w:i/>
          <w:iCs/>
          <w:lang w:val="en-US"/>
        </w:rPr>
        <w:t xml:space="preserve">3 recommendations </w:t>
      </w:r>
      <w:r w:rsidR="004B0AC8">
        <w:rPr>
          <w:rFonts w:asciiTheme="majorHAnsi" w:eastAsia="Times New Roman" w:hAnsiTheme="majorHAnsi" w:cstheme="majorHAnsi"/>
          <w:lang w:val="en-US"/>
        </w:rPr>
        <w:t xml:space="preserve">(in italics above), and one comment. </w:t>
      </w:r>
    </w:p>
    <w:p w14:paraId="1229CA60" w14:textId="77777777" w:rsidR="00A55AB2" w:rsidRPr="00A55AB2" w:rsidRDefault="00A55AB2" w:rsidP="00A55AB2">
      <w:pPr>
        <w:spacing w:line="240" w:lineRule="auto"/>
        <w:ind w:left="1440"/>
        <w:rPr>
          <w:rFonts w:asciiTheme="majorHAnsi" w:eastAsia="Times New Roman" w:hAnsiTheme="majorHAnsi" w:cstheme="majorHAnsi"/>
          <w:color w:val="7030A0"/>
          <w:lang w:val="en-US"/>
        </w:rPr>
      </w:pPr>
    </w:p>
    <w:p w14:paraId="7176B762" w14:textId="2D2C2DFA" w:rsidR="00DD254F" w:rsidRDefault="00DD254F" w:rsidP="00DD254F">
      <w:pPr>
        <w:numPr>
          <w:ilvl w:val="0"/>
          <w:numId w:val="39"/>
        </w:numPr>
        <w:spacing w:line="240" w:lineRule="auto"/>
        <w:rPr>
          <w:rFonts w:asciiTheme="majorHAnsi" w:eastAsia="Times New Roman" w:hAnsiTheme="majorHAnsi" w:cstheme="majorHAnsi"/>
          <w:lang w:val="en-US"/>
        </w:rPr>
      </w:pPr>
      <w:r w:rsidRPr="00DD254F">
        <w:rPr>
          <w:rFonts w:asciiTheme="majorHAnsi" w:eastAsia="Times New Roman" w:hAnsiTheme="majorHAnsi" w:cstheme="majorHAnsi"/>
          <w:lang w:val="en-US"/>
        </w:rPr>
        <w:t>Classics 3205 (new course; requesting GEN Foundation REGD)</w:t>
      </w:r>
      <w:r w:rsidR="00A55AB2">
        <w:rPr>
          <w:rFonts w:asciiTheme="majorHAnsi" w:eastAsia="Times New Roman" w:hAnsiTheme="majorHAnsi" w:cstheme="majorHAnsi"/>
          <w:lang w:val="en-US"/>
        </w:rPr>
        <w:t>(return)</w:t>
      </w:r>
    </w:p>
    <w:p w14:paraId="12ECAC96" w14:textId="6E44A15B" w:rsidR="00B1518A" w:rsidRDefault="00B1518A" w:rsidP="00B1518A">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Tabled for time</w:t>
      </w:r>
    </w:p>
    <w:p w14:paraId="0F71E6C3" w14:textId="77777777" w:rsidR="00A55AB2" w:rsidRPr="00DD254F" w:rsidRDefault="00A55AB2" w:rsidP="00DD254F">
      <w:pPr>
        <w:spacing w:line="240" w:lineRule="auto"/>
        <w:ind w:left="720"/>
        <w:rPr>
          <w:rFonts w:asciiTheme="majorHAnsi" w:eastAsia="Times New Roman" w:hAnsiTheme="majorHAnsi" w:cstheme="majorHAnsi"/>
          <w:lang w:val="en-US"/>
        </w:rPr>
      </w:pPr>
    </w:p>
    <w:sectPr w:rsidR="00A55AB2" w:rsidRPr="00DD25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4"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8"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4"/>
  </w:num>
  <w:num w:numId="3" w16cid:durableId="1963799528">
    <w:abstractNumId w:val="7"/>
  </w:num>
  <w:num w:numId="4" w16cid:durableId="1638993097">
    <w:abstractNumId w:val="35"/>
  </w:num>
  <w:num w:numId="5" w16cid:durableId="123625005">
    <w:abstractNumId w:val="21"/>
  </w:num>
  <w:num w:numId="6" w16cid:durableId="2053457641">
    <w:abstractNumId w:val="36"/>
  </w:num>
  <w:num w:numId="7" w16cid:durableId="863445494">
    <w:abstractNumId w:val="25"/>
  </w:num>
  <w:num w:numId="8" w16cid:durableId="645159189">
    <w:abstractNumId w:val="26"/>
  </w:num>
  <w:num w:numId="9" w16cid:durableId="304088390">
    <w:abstractNumId w:val="17"/>
  </w:num>
  <w:num w:numId="10" w16cid:durableId="970398860">
    <w:abstractNumId w:val="22"/>
  </w:num>
  <w:num w:numId="11" w16cid:durableId="13577314">
    <w:abstractNumId w:val="38"/>
  </w:num>
  <w:num w:numId="12" w16cid:durableId="830605717">
    <w:abstractNumId w:val="37"/>
  </w:num>
  <w:num w:numId="13" w16cid:durableId="1482961076">
    <w:abstractNumId w:val="16"/>
  </w:num>
  <w:num w:numId="14" w16cid:durableId="1016811623">
    <w:abstractNumId w:val="4"/>
  </w:num>
  <w:num w:numId="15" w16cid:durableId="563686567">
    <w:abstractNumId w:val="28"/>
  </w:num>
  <w:num w:numId="16" w16cid:durableId="54083843">
    <w:abstractNumId w:val="9"/>
  </w:num>
  <w:num w:numId="17" w16cid:durableId="1903443988">
    <w:abstractNumId w:val="1"/>
  </w:num>
  <w:num w:numId="18" w16cid:durableId="462698049">
    <w:abstractNumId w:val="33"/>
  </w:num>
  <w:num w:numId="19" w16cid:durableId="994918440">
    <w:abstractNumId w:val="34"/>
  </w:num>
  <w:num w:numId="20" w16cid:durableId="607081229">
    <w:abstractNumId w:val="0"/>
  </w:num>
  <w:num w:numId="21" w16cid:durableId="1968466424">
    <w:abstractNumId w:val="14"/>
  </w:num>
  <w:num w:numId="22" w16cid:durableId="2042900409">
    <w:abstractNumId w:val="6"/>
  </w:num>
  <w:num w:numId="23" w16cid:durableId="1747337830">
    <w:abstractNumId w:val="2"/>
  </w:num>
  <w:num w:numId="24" w16cid:durableId="1134522203">
    <w:abstractNumId w:val="13"/>
  </w:num>
  <w:num w:numId="25" w16cid:durableId="774403962">
    <w:abstractNumId w:val="18"/>
  </w:num>
  <w:num w:numId="26" w16cid:durableId="2014139810">
    <w:abstractNumId w:val="27"/>
  </w:num>
  <w:num w:numId="27" w16cid:durableId="1670401310">
    <w:abstractNumId w:val="20"/>
  </w:num>
  <w:num w:numId="28" w16cid:durableId="1511064603">
    <w:abstractNumId w:val="3"/>
  </w:num>
  <w:num w:numId="29" w16cid:durableId="212424680">
    <w:abstractNumId w:val="8"/>
  </w:num>
  <w:num w:numId="30" w16cid:durableId="2084601731">
    <w:abstractNumId w:val="5"/>
  </w:num>
  <w:num w:numId="31" w16cid:durableId="2094159471">
    <w:abstractNumId w:val="23"/>
  </w:num>
  <w:num w:numId="32" w16cid:durableId="44717986">
    <w:abstractNumId w:val="32"/>
  </w:num>
  <w:num w:numId="33" w16cid:durableId="2005547637">
    <w:abstractNumId w:val="19"/>
  </w:num>
  <w:num w:numId="34" w16cid:durableId="1377583461">
    <w:abstractNumId w:val="12"/>
  </w:num>
  <w:num w:numId="35" w16cid:durableId="1888107871">
    <w:abstractNumId w:val="30"/>
  </w:num>
  <w:num w:numId="36" w16cid:durableId="735275436">
    <w:abstractNumId w:val="31"/>
  </w:num>
  <w:num w:numId="37" w16cid:durableId="1088770895">
    <w:abstractNumId w:val="15"/>
  </w:num>
  <w:num w:numId="38" w16cid:durableId="1767076632">
    <w:abstractNumId w:val="29"/>
  </w:num>
  <w:num w:numId="39" w16cid:durableId="112870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261F"/>
    <w:rsid w:val="000028BC"/>
    <w:rsid w:val="00006FC9"/>
    <w:rsid w:val="000077C6"/>
    <w:rsid w:val="00011EA9"/>
    <w:rsid w:val="00015BA6"/>
    <w:rsid w:val="00017A9D"/>
    <w:rsid w:val="00022067"/>
    <w:rsid w:val="000245AB"/>
    <w:rsid w:val="0003760B"/>
    <w:rsid w:val="00040B37"/>
    <w:rsid w:val="00044700"/>
    <w:rsid w:val="00046704"/>
    <w:rsid w:val="0005079F"/>
    <w:rsid w:val="00052768"/>
    <w:rsid w:val="000530A1"/>
    <w:rsid w:val="00053951"/>
    <w:rsid w:val="000541C4"/>
    <w:rsid w:val="00055FE5"/>
    <w:rsid w:val="000618EE"/>
    <w:rsid w:val="00072226"/>
    <w:rsid w:val="000756F9"/>
    <w:rsid w:val="00076C0C"/>
    <w:rsid w:val="00086CCC"/>
    <w:rsid w:val="00091E5F"/>
    <w:rsid w:val="00097FEB"/>
    <w:rsid w:val="000A0884"/>
    <w:rsid w:val="000A143A"/>
    <w:rsid w:val="000B145A"/>
    <w:rsid w:val="000B6A14"/>
    <w:rsid w:val="000C033C"/>
    <w:rsid w:val="000D1421"/>
    <w:rsid w:val="000D160D"/>
    <w:rsid w:val="000D215F"/>
    <w:rsid w:val="000D534F"/>
    <w:rsid w:val="000E1392"/>
    <w:rsid w:val="000E1647"/>
    <w:rsid w:val="000E32E8"/>
    <w:rsid w:val="000F277B"/>
    <w:rsid w:val="000F31EB"/>
    <w:rsid w:val="000F6998"/>
    <w:rsid w:val="00100007"/>
    <w:rsid w:val="001015A0"/>
    <w:rsid w:val="00104395"/>
    <w:rsid w:val="00112CD4"/>
    <w:rsid w:val="00113171"/>
    <w:rsid w:val="00113F55"/>
    <w:rsid w:val="0011528C"/>
    <w:rsid w:val="001162E3"/>
    <w:rsid w:val="00117E19"/>
    <w:rsid w:val="00125801"/>
    <w:rsid w:val="00127333"/>
    <w:rsid w:val="00130744"/>
    <w:rsid w:val="00135CCA"/>
    <w:rsid w:val="0014640F"/>
    <w:rsid w:val="00150A54"/>
    <w:rsid w:val="00172A72"/>
    <w:rsid w:val="00176B12"/>
    <w:rsid w:val="001805A5"/>
    <w:rsid w:val="00180BE6"/>
    <w:rsid w:val="00184156"/>
    <w:rsid w:val="001841D6"/>
    <w:rsid w:val="00185B97"/>
    <w:rsid w:val="00193AF0"/>
    <w:rsid w:val="00195203"/>
    <w:rsid w:val="001B21D9"/>
    <w:rsid w:val="001C1350"/>
    <w:rsid w:val="001C216C"/>
    <w:rsid w:val="001D3247"/>
    <w:rsid w:val="001E63AD"/>
    <w:rsid w:val="001F08F4"/>
    <w:rsid w:val="001F4F08"/>
    <w:rsid w:val="001F6BE8"/>
    <w:rsid w:val="001F7FC2"/>
    <w:rsid w:val="00201171"/>
    <w:rsid w:val="00201A42"/>
    <w:rsid w:val="002215AF"/>
    <w:rsid w:val="00225131"/>
    <w:rsid w:val="00226C5B"/>
    <w:rsid w:val="00256181"/>
    <w:rsid w:val="00262B51"/>
    <w:rsid w:val="002657CF"/>
    <w:rsid w:val="00265DBE"/>
    <w:rsid w:val="00272270"/>
    <w:rsid w:val="00272F0D"/>
    <w:rsid w:val="002833D3"/>
    <w:rsid w:val="00283A08"/>
    <w:rsid w:val="00283D0B"/>
    <w:rsid w:val="00285A99"/>
    <w:rsid w:val="002866BB"/>
    <w:rsid w:val="00290276"/>
    <w:rsid w:val="0029103A"/>
    <w:rsid w:val="0029383D"/>
    <w:rsid w:val="00293F5C"/>
    <w:rsid w:val="002953A3"/>
    <w:rsid w:val="002A1500"/>
    <w:rsid w:val="002A3647"/>
    <w:rsid w:val="002A547A"/>
    <w:rsid w:val="002A6C66"/>
    <w:rsid w:val="002A7826"/>
    <w:rsid w:val="002B024A"/>
    <w:rsid w:val="002B1A15"/>
    <w:rsid w:val="002B23AE"/>
    <w:rsid w:val="002C0046"/>
    <w:rsid w:val="002C1361"/>
    <w:rsid w:val="002C42D7"/>
    <w:rsid w:val="002D35EB"/>
    <w:rsid w:val="002D4806"/>
    <w:rsid w:val="002D4812"/>
    <w:rsid w:val="002F7165"/>
    <w:rsid w:val="00300F38"/>
    <w:rsid w:val="003010F9"/>
    <w:rsid w:val="00301C92"/>
    <w:rsid w:val="00325FF3"/>
    <w:rsid w:val="00331773"/>
    <w:rsid w:val="00335F0E"/>
    <w:rsid w:val="003427FE"/>
    <w:rsid w:val="00342819"/>
    <w:rsid w:val="003454C8"/>
    <w:rsid w:val="003467CD"/>
    <w:rsid w:val="00352BD2"/>
    <w:rsid w:val="003541A9"/>
    <w:rsid w:val="003559DE"/>
    <w:rsid w:val="003562DF"/>
    <w:rsid w:val="00357E17"/>
    <w:rsid w:val="00373BB2"/>
    <w:rsid w:val="00396B15"/>
    <w:rsid w:val="003C1506"/>
    <w:rsid w:val="003C3A9B"/>
    <w:rsid w:val="003C6891"/>
    <w:rsid w:val="003F2922"/>
    <w:rsid w:val="003F73CA"/>
    <w:rsid w:val="0040075B"/>
    <w:rsid w:val="004048C2"/>
    <w:rsid w:val="00407962"/>
    <w:rsid w:val="00410BC2"/>
    <w:rsid w:val="004141B5"/>
    <w:rsid w:val="00414D5D"/>
    <w:rsid w:val="00415BCD"/>
    <w:rsid w:val="0041671A"/>
    <w:rsid w:val="00432D1B"/>
    <w:rsid w:val="0043509F"/>
    <w:rsid w:val="00437942"/>
    <w:rsid w:val="0044143D"/>
    <w:rsid w:val="00444CFD"/>
    <w:rsid w:val="0044657D"/>
    <w:rsid w:val="00447EFB"/>
    <w:rsid w:val="00451E1C"/>
    <w:rsid w:val="00452636"/>
    <w:rsid w:val="00455953"/>
    <w:rsid w:val="004560EE"/>
    <w:rsid w:val="00460CB1"/>
    <w:rsid w:val="00463B13"/>
    <w:rsid w:val="004643D0"/>
    <w:rsid w:val="00466D00"/>
    <w:rsid w:val="00471E51"/>
    <w:rsid w:val="00472A46"/>
    <w:rsid w:val="004746DA"/>
    <w:rsid w:val="00475355"/>
    <w:rsid w:val="00476453"/>
    <w:rsid w:val="004802EE"/>
    <w:rsid w:val="00481BB5"/>
    <w:rsid w:val="004829C6"/>
    <w:rsid w:val="00483E9B"/>
    <w:rsid w:val="00485056"/>
    <w:rsid w:val="00487067"/>
    <w:rsid w:val="00490C21"/>
    <w:rsid w:val="00494DB9"/>
    <w:rsid w:val="004972FB"/>
    <w:rsid w:val="004A0C18"/>
    <w:rsid w:val="004A143A"/>
    <w:rsid w:val="004A209A"/>
    <w:rsid w:val="004A7324"/>
    <w:rsid w:val="004B0AC8"/>
    <w:rsid w:val="004B0B52"/>
    <w:rsid w:val="004C2049"/>
    <w:rsid w:val="004D024F"/>
    <w:rsid w:val="004D0568"/>
    <w:rsid w:val="004D4B9F"/>
    <w:rsid w:val="004E14D7"/>
    <w:rsid w:val="004F040E"/>
    <w:rsid w:val="004F0829"/>
    <w:rsid w:val="004F7184"/>
    <w:rsid w:val="00514B3A"/>
    <w:rsid w:val="0051599B"/>
    <w:rsid w:val="00516BFD"/>
    <w:rsid w:val="00524B8B"/>
    <w:rsid w:val="00526C60"/>
    <w:rsid w:val="00530B10"/>
    <w:rsid w:val="00537004"/>
    <w:rsid w:val="005375A7"/>
    <w:rsid w:val="0054279C"/>
    <w:rsid w:val="00545570"/>
    <w:rsid w:val="005513C3"/>
    <w:rsid w:val="00553202"/>
    <w:rsid w:val="00557760"/>
    <w:rsid w:val="00560051"/>
    <w:rsid w:val="0056301E"/>
    <w:rsid w:val="00563ABE"/>
    <w:rsid w:val="00567204"/>
    <w:rsid w:val="00585DFC"/>
    <w:rsid w:val="00591BF1"/>
    <w:rsid w:val="00596EC9"/>
    <w:rsid w:val="005A1513"/>
    <w:rsid w:val="005B2375"/>
    <w:rsid w:val="005B2633"/>
    <w:rsid w:val="005B60CC"/>
    <w:rsid w:val="005C1F27"/>
    <w:rsid w:val="005C4019"/>
    <w:rsid w:val="005C5C94"/>
    <w:rsid w:val="005D0EC3"/>
    <w:rsid w:val="005D38B1"/>
    <w:rsid w:val="005E0E56"/>
    <w:rsid w:val="005E1D49"/>
    <w:rsid w:val="005E4B50"/>
    <w:rsid w:val="005F1B44"/>
    <w:rsid w:val="006011F5"/>
    <w:rsid w:val="006013FE"/>
    <w:rsid w:val="00601E5E"/>
    <w:rsid w:val="00610AE7"/>
    <w:rsid w:val="0061154B"/>
    <w:rsid w:val="0061445D"/>
    <w:rsid w:val="0061741D"/>
    <w:rsid w:val="006277A3"/>
    <w:rsid w:val="006552FE"/>
    <w:rsid w:val="00656078"/>
    <w:rsid w:val="006579E5"/>
    <w:rsid w:val="00665600"/>
    <w:rsid w:val="00673AA2"/>
    <w:rsid w:val="006777BE"/>
    <w:rsid w:val="0068230F"/>
    <w:rsid w:val="00682F29"/>
    <w:rsid w:val="0069459B"/>
    <w:rsid w:val="006958B6"/>
    <w:rsid w:val="006B005E"/>
    <w:rsid w:val="006B5482"/>
    <w:rsid w:val="006C39D6"/>
    <w:rsid w:val="006C5756"/>
    <w:rsid w:val="006D3D24"/>
    <w:rsid w:val="006D5257"/>
    <w:rsid w:val="006F7033"/>
    <w:rsid w:val="007119A4"/>
    <w:rsid w:val="00716FD9"/>
    <w:rsid w:val="00717BA5"/>
    <w:rsid w:val="00724A6F"/>
    <w:rsid w:val="00733720"/>
    <w:rsid w:val="007355C1"/>
    <w:rsid w:val="00740A4A"/>
    <w:rsid w:val="0074109F"/>
    <w:rsid w:val="00744E1F"/>
    <w:rsid w:val="00761E1A"/>
    <w:rsid w:val="00762426"/>
    <w:rsid w:val="00776791"/>
    <w:rsid w:val="0078335E"/>
    <w:rsid w:val="007869DF"/>
    <w:rsid w:val="00791DAE"/>
    <w:rsid w:val="00793A7E"/>
    <w:rsid w:val="00794B64"/>
    <w:rsid w:val="00797343"/>
    <w:rsid w:val="007B032F"/>
    <w:rsid w:val="007B11B6"/>
    <w:rsid w:val="007B2366"/>
    <w:rsid w:val="007B2382"/>
    <w:rsid w:val="007B423D"/>
    <w:rsid w:val="007D4D83"/>
    <w:rsid w:val="007D60DB"/>
    <w:rsid w:val="007E0E0C"/>
    <w:rsid w:val="007E5B1B"/>
    <w:rsid w:val="007F0256"/>
    <w:rsid w:val="007F213D"/>
    <w:rsid w:val="007F26EE"/>
    <w:rsid w:val="007F2836"/>
    <w:rsid w:val="0080062C"/>
    <w:rsid w:val="008176F9"/>
    <w:rsid w:val="008207CC"/>
    <w:rsid w:val="00825698"/>
    <w:rsid w:val="008320CA"/>
    <w:rsid w:val="00833872"/>
    <w:rsid w:val="00834513"/>
    <w:rsid w:val="008350D8"/>
    <w:rsid w:val="008443A9"/>
    <w:rsid w:val="008476D3"/>
    <w:rsid w:val="00857510"/>
    <w:rsid w:val="00875BD0"/>
    <w:rsid w:val="00887532"/>
    <w:rsid w:val="0088755C"/>
    <w:rsid w:val="008930A9"/>
    <w:rsid w:val="0089495E"/>
    <w:rsid w:val="008A40A4"/>
    <w:rsid w:val="008B2607"/>
    <w:rsid w:val="008B5830"/>
    <w:rsid w:val="008C3E30"/>
    <w:rsid w:val="008C4A2E"/>
    <w:rsid w:val="008C77B8"/>
    <w:rsid w:val="008D4F11"/>
    <w:rsid w:val="008D5D25"/>
    <w:rsid w:val="008D7419"/>
    <w:rsid w:val="008F1BA2"/>
    <w:rsid w:val="008F356B"/>
    <w:rsid w:val="009015E9"/>
    <w:rsid w:val="00903252"/>
    <w:rsid w:val="0090531E"/>
    <w:rsid w:val="00914C55"/>
    <w:rsid w:val="00916F96"/>
    <w:rsid w:val="009177DF"/>
    <w:rsid w:val="00920093"/>
    <w:rsid w:val="009242DF"/>
    <w:rsid w:val="009338DB"/>
    <w:rsid w:val="00942194"/>
    <w:rsid w:val="009437F5"/>
    <w:rsid w:val="009453E2"/>
    <w:rsid w:val="00945946"/>
    <w:rsid w:val="00946592"/>
    <w:rsid w:val="009500D7"/>
    <w:rsid w:val="0095512B"/>
    <w:rsid w:val="00955867"/>
    <w:rsid w:val="009608F4"/>
    <w:rsid w:val="00961D24"/>
    <w:rsid w:val="009677FC"/>
    <w:rsid w:val="00982695"/>
    <w:rsid w:val="00983802"/>
    <w:rsid w:val="009878BB"/>
    <w:rsid w:val="00997A7B"/>
    <w:rsid w:val="009A0387"/>
    <w:rsid w:val="009A4DA8"/>
    <w:rsid w:val="009A5A0B"/>
    <w:rsid w:val="009A7928"/>
    <w:rsid w:val="009C1AEE"/>
    <w:rsid w:val="009C30C0"/>
    <w:rsid w:val="009C456F"/>
    <w:rsid w:val="009C45D0"/>
    <w:rsid w:val="009D337C"/>
    <w:rsid w:val="009D3DDA"/>
    <w:rsid w:val="009E105F"/>
    <w:rsid w:val="009E1AB9"/>
    <w:rsid w:val="009F033D"/>
    <w:rsid w:val="009F384C"/>
    <w:rsid w:val="00A023E7"/>
    <w:rsid w:val="00A03B8B"/>
    <w:rsid w:val="00A03BF2"/>
    <w:rsid w:val="00A077D9"/>
    <w:rsid w:val="00A11C30"/>
    <w:rsid w:val="00A122DF"/>
    <w:rsid w:val="00A1614B"/>
    <w:rsid w:val="00A20CFE"/>
    <w:rsid w:val="00A27BD6"/>
    <w:rsid w:val="00A34A56"/>
    <w:rsid w:val="00A35731"/>
    <w:rsid w:val="00A363BD"/>
    <w:rsid w:val="00A42CFF"/>
    <w:rsid w:val="00A43CEB"/>
    <w:rsid w:val="00A46E2A"/>
    <w:rsid w:val="00A51BBE"/>
    <w:rsid w:val="00A5465F"/>
    <w:rsid w:val="00A55AB2"/>
    <w:rsid w:val="00A579B8"/>
    <w:rsid w:val="00A6018A"/>
    <w:rsid w:val="00A60F9A"/>
    <w:rsid w:val="00A632AD"/>
    <w:rsid w:val="00A6419F"/>
    <w:rsid w:val="00A67324"/>
    <w:rsid w:val="00A755E1"/>
    <w:rsid w:val="00A92CB1"/>
    <w:rsid w:val="00A962E7"/>
    <w:rsid w:val="00A97C42"/>
    <w:rsid w:val="00AC0554"/>
    <w:rsid w:val="00AC566F"/>
    <w:rsid w:val="00AC58BB"/>
    <w:rsid w:val="00AC7B1F"/>
    <w:rsid w:val="00AE6BDB"/>
    <w:rsid w:val="00AE734A"/>
    <w:rsid w:val="00AF11D4"/>
    <w:rsid w:val="00AF4468"/>
    <w:rsid w:val="00AF7EF0"/>
    <w:rsid w:val="00B011B3"/>
    <w:rsid w:val="00B0655F"/>
    <w:rsid w:val="00B07F86"/>
    <w:rsid w:val="00B13DE6"/>
    <w:rsid w:val="00B1518A"/>
    <w:rsid w:val="00B2158A"/>
    <w:rsid w:val="00B23828"/>
    <w:rsid w:val="00B249A3"/>
    <w:rsid w:val="00B37DE6"/>
    <w:rsid w:val="00B470B8"/>
    <w:rsid w:val="00B47205"/>
    <w:rsid w:val="00B475D6"/>
    <w:rsid w:val="00B52CB1"/>
    <w:rsid w:val="00B57BBD"/>
    <w:rsid w:val="00B61E80"/>
    <w:rsid w:val="00B6377C"/>
    <w:rsid w:val="00B63EED"/>
    <w:rsid w:val="00B64562"/>
    <w:rsid w:val="00B711B8"/>
    <w:rsid w:val="00B73BA6"/>
    <w:rsid w:val="00B75727"/>
    <w:rsid w:val="00B761DA"/>
    <w:rsid w:val="00B86C49"/>
    <w:rsid w:val="00B95EFC"/>
    <w:rsid w:val="00BA269E"/>
    <w:rsid w:val="00BB2215"/>
    <w:rsid w:val="00BB3F43"/>
    <w:rsid w:val="00BB4A8A"/>
    <w:rsid w:val="00BB56C4"/>
    <w:rsid w:val="00BB575C"/>
    <w:rsid w:val="00BC1888"/>
    <w:rsid w:val="00BC2B79"/>
    <w:rsid w:val="00BC31F9"/>
    <w:rsid w:val="00BC47F0"/>
    <w:rsid w:val="00BE3C62"/>
    <w:rsid w:val="00BE44F5"/>
    <w:rsid w:val="00BE7556"/>
    <w:rsid w:val="00BF0A05"/>
    <w:rsid w:val="00C00642"/>
    <w:rsid w:val="00C01333"/>
    <w:rsid w:val="00C04584"/>
    <w:rsid w:val="00C12EF5"/>
    <w:rsid w:val="00C1435A"/>
    <w:rsid w:val="00C14D1A"/>
    <w:rsid w:val="00C161A7"/>
    <w:rsid w:val="00C30E80"/>
    <w:rsid w:val="00C32489"/>
    <w:rsid w:val="00C44DAB"/>
    <w:rsid w:val="00C6184D"/>
    <w:rsid w:val="00C6748F"/>
    <w:rsid w:val="00C67A29"/>
    <w:rsid w:val="00C7202C"/>
    <w:rsid w:val="00C72414"/>
    <w:rsid w:val="00C74069"/>
    <w:rsid w:val="00C76CC1"/>
    <w:rsid w:val="00C76ED0"/>
    <w:rsid w:val="00C83277"/>
    <w:rsid w:val="00C9368C"/>
    <w:rsid w:val="00C95359"/>
    <w:rsid w:val="00C96939"/>
    <w:rsid w:val="00CA014B"/>
    <w:rsid w:val="00CB0FD3"/>
    <w:rsid w:val="00CC0824"/>
    <w:rsid w:val="00CC1D0A"/>
    <w:rsid w:val="00CC20B4"/>
    <w:rsid w:val="00CC295F"/>
    <w:rsid w:val="00CC45E8"/>
    <w:rsid w:val="00CC51CC"/>
    <w:rsid w:val="00CD0DB1"/>
    <w:rsid w:val="00CD57D9"/>
    <w:rsid w:val="00CD66F6"/>
    <w:rsid w:val="00CE6178"/>
    <w:rsid w:val="00CF03F1"/>
    <w:rsid w:val="00CF2B6B"/>
    <w:rsid w:val="00CF631F"/>
    <w:rsid w:val="00D05921"/>
    <w:rsid w:val="00D059E2"/>
    <w:rsid w:val="00D1071B"/>
    <w:rsid w:val="00D13278"/>
    <w:rsid w:val="00D1462B"/>
    <w:rsid w:val="00D223EF"/>
    <w:rsid w:val="00D236FB"/>
    <w:rsid w:val="00D31854"/>
    <w:rsid w:val="00D333D1"/>
    <w:rsid w:val="00D34C54"/>
    <w:rsid w:val="00D401FD"/>
    <w:rsid w:val="00D46AA9"/>
    <w:rsid w:val="00D54346"/>
    <w:rsid w:val="00D54680"/>
    <w:rsid w:val="00D60008"/>
    <w:rsid w:val="00D64DAB"/>
    <w:rsid w:val="00D72276"/>
    <w:rsid w:val="00D72A9A"/>
    <w:rsid w:val="00D81921"/>
    <w:rsid w:val="00D84551"/>
    <w:rsid w:val="00D87C92"/>
    <w:rsid w:val="00D9023F"/>
    <w:rsid w:val="00D97396"/>
    <w:rsid w:val="00DA359C"/>
    <w:rsid w:val="00DA6B24"/>
    <w:rsid w:val="00DB0670"/>
    <w:rsid w:val="00DB1C51"/>
    <w:rsid w:val="00DB46F6"/>
    <w:rsid w:val="00DB64A8"/>
    <w:rsid w:val="00DC1C9B"/>
    <w:rsid w:val="00DC6D7A"/>
    <w:rsid w:val="00DD094D"/>
    <w:rsid w:val="00DD254F"/>
    <w:rsid w:val="00DD4E5F"/>
    <w:rsid w:val="00DD579C"/>
    <w:rsid w:val="00DE40B9"/>
    <w:rsid w:val="00DF1952"/>
    <w:rsid w:val="00DF37C2"/>
    <w:rsid w:val="00DF49FB"/>
    <w:rsid w:val="00E034AB"/>
    <w:rsid w:val="00E06519"/>
    <w:rsid w:val="00E102AA"/>
    <w:rsid w:val="00E1145C"/>
    <w:rsid w:val="00E15F5F"/>
    <w:rsid w:val="00E3165D"/>
    <w:rsid w:val="00E34BA5"/>
    <w:rsid w:val="00E34D6C"/>
    <w:rsid w:val="00E41B51"/>
    <w:rsid w:val="00E4596B"/>
    <w:rsid w:val="00E54F1E"/>
    <w:rsid w:val="00E556A3"/>
    <w:rsid w:val="00E56145"/>
    <w:rsid w:val="00E679BE"/>
    <w:rsid w:val="00E7112F"/>
    <w:rsid w:val="00E767AB"/>
    <w:rsid w:val="00E91E53"/>
    <w:rsid w:val="00E94884"/>
    <w:rsid w:val="00E94C92"/>
    <w:rsid w:val="00E95764"/>
    <w:rsid w:val="00EA4C2E"/>
    <w:rsid w:val="00EC43D0"/>
    <w:rsid w:val="00EC5A89"/>
    <w:rsid w:val="00EC72B9"/>
    <w:rsid w:val="00ED0E24"/>
    <w:rsid w:val="00ED1951"/>
    <w:rsid w:val="00ED54A9"/>
    <w:rsid w:val="00ED61D7"/>
    <w:rsid w:val="00EE38A3"/>
    <w:rsid w:val="00EE7C7A"/>
    <w:rsid w:val="00EE7D32"/>
    <w:rsid w:val="00EF3BD5"/>
    <w:rsid w:val="00EF4FBE"/>
    <w:rsid w:val="00F038F6"/>
    <w:rsid w:val="00F23263"/>
    <w:rsid w:val="00F33666"/>
    <w:rsid w:val="00F36D38"/>
    <w:rsid w:val="00F44A94"/>
    <w:rsid w:val="00F53420"/>
    <w:rsid w:val="00F61337"/>
    <w:rsid w:val="00F61516"/>
    <w:rsid w:val="00F617BF"/>
    <w:rsid w:val="00F61D84"/>
    <w:rsid w:val="00F62FDA"/>
    <w:rsid w:val="00F63879"/>
    <w:rsid w:val="00F63A3C"/>
    <w:rsid w:val="00F67388"/>
    <w:rsid w:val="00F72B8D"/>
    <w:rsid w:val="00F730C7"/>
    <w:rsid w:val="00F74DE3"/>
    <w:rsid w:val="00F75241"/>
    <w:rsid w:val="00F86A90"/>
    <w:rsid w:val="00FA08AA"/>
    <w:rsid w:val="00FA281D"/>
    <w:rsid w:val="00FA6781"/>
    <w:rsid w:val="00FA730B"/>
    <w:rsid w:val="00FC145A"/>
    <w:rsid w:val="00FC6385"/>
    <w:rsid w:val="00FC6A81"/>
    <w:rsid w:val="00FD25F6"/>
    <w:rsid w:val="00FE1CB3"/>
    <w:rsid w:val="00FE4FB3"/>
    <w:rsid w:val="00FE7887"/>
    <w:rsid w:val="00FF470E"/>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5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ccas.osu.edu/legacy-general-education-gel-goals-and-elos" TargetMode="External"/><Relationship Id="rId11" Type="http://schemas.openxmlformats.org/officeDocument/2006/relationships/hyperlink" Target="https://mcc.osu.edu/about-us/land-acknowledgement" TargetMode="External"/><Relationship Id="rId5" Type="http://schemas.openxmlformats.org/officeDocument/2006/relationships/hyperlink" Target="https://asccas.osu.edu/new-general-education-gen-goals-and-elos" TargetMode="External"/><Relationship Id="rId15" Type="http://schemas.openxmlformats.org/officeDocument/2006/relationships/hyperlink" Target="https://asccas.osu.edu/curriculum/syllabus-elements" TargetMode="External"/><Relationship Id="rId10" Type="http://schemas.openxmlformats.org/officeDocument/2006/relationships/hyperlink" Target="https://asccas.osu.edu/legacy-general-education-gel-goals-and-elo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2023-02-11T20:24:00Z</cp:lastPrinted>
  <dcterms:created xsi:type="dcterms:W3CDTF">2023-02-20T23:35:00Z</dcterms:created>
  <dcterms:modified xsi:type="dcterms:W3CDTF">2023-02-20T23:35:00Z</dcterms:modified>
</cp:coreProperties>
</file>